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179" w:type="dxa"/>
        <w:jc w:val="center"/>
        <w:tblLayout w:type="fixed"/>
        <w:tblLook w:val="04A0" w:firstRow="1" w:lastRow="0" w:firstColumn="1" w:lastColumn="0" w:noHBand="0" w:noVBand="1"/>
      </w:tblPr>
      <w:tblGrid>
        <w:gridCol w:w="5832"/>
        <w:gridCol w:w="6336"/>
        <w:gridCol w:w="7011"/>
      </w:tblGrid>
      <w:tr w:rsidR="006E3196" w:rsidRPr="00C05EE3" w:rsidTr="002D4298">
        <w:trPr>
          <w:trHeight w:val="505"/>
          <w:tblHeader/>
          <w:jc w:val="center"/>
        </w:trPr>
        <w:tc>
          <w:tcPr>
            <w:tcW w:w="5832" w:type="dxa"/>
            <w:shd w:val="clear" w:color="auto" w:fill="C0C0C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E3196" w:rsidRPr="009B336E" w:rsidRDefault="00B82A3C" w:rsidP="000C0D62">
            <w:pPr>
              <w:jc w:val="center"/>
              <w:rPr>
                <w:rFonts w:cs="Arial"/>
                <w:b/>
                <w:sz w:val="24"/>
              </w:rPr>
            </w:pPr>
            <w:r w:rsidRPr="009B336E">
              <w:rPr>
                <w:rFonts w:cs="Arial"/>
                <w:b/>
                <w:sz w:val="24"/>
              </w:rPr>
              <w:t>Epidemiological Trends</w:t>
            </w:r>
          </w:p>
        </w:tc>
        <w:tc>
          <w:tcPr>
            <w:tcW w:w="6336" w:type="dxa"/>
            <w:shd w:val="clear" w:color="auto" w:fill="C0C0C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E3196" w:rsidRPr="009B336E" w:rsidRDefault="005968A9" w:rsidP="00816CE4">
            <w:pPr>
              <w:jc w:val="center"/>
              <w:rPr>
                <w:rFonts w:cs="Arial"/>
                <w:b/>
                <w:sz w:val="24"/>
              </w:rPr>
            </w:pPr>
            <w:r w:rsidRPr="009B336E">
              <w:rPr>
                <w:rFonts w:cs="Arial"/>
                <w:b/>
                <w:sz w:val="24"/>
              </w:rPr>
              <w:t>Unmet Need</w:t>
            </w:r>
            <w:r w:rsidR="00B82A3C" w:rsidRPr="009B336E">
              <w:rPr>
                <w:rFonts w:cs="Arial"/>
                <w:b/>
                <w:sz w:val="24"/>
              </w:rPr>
              <w:t xml:space="preserve"> for HIV Care</w:t>
            </w:r>
          </w:p>
        </w:tc>
        <w:tc>
          <w:tcPr>
            <w:tcW w:w="7011" w:type="dxa"/>
            <w:shd w:val="clear" w:color="auto" w:fill="C0C0C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E3196" w:rsidRPr="009B336E" w:rsidRDefault="00CF59B8" w:rsidP="00B82A3C">
            <w:pPr>
              <w:jc w:val="center"/>
              <w:rPr>
                <w:rFonts w:cs="Arial"/>
                <w:b/>
                <w:sz w:val="24"/>
              </w:rPr>
            </w:pPr>
            <w:r w:rsidRPr="009B336E">
              <w:rPr>
                <w:rFonts w:cs="Arial"/>
                <w:b/>
                <w:sz w:val="24"/>
              </w:rPr>
              <w:t xml:space="preserve">National, State, </w:t>
            </w:r>
            <w:r w:rsidR="006E3196" w:rsidRPr="009B336E">
              <w:rPr>
                <w:rFonts w:cs="Arial"/>
                <w:b/>
                <w:sz w:val="24"/>
              </w:rPr>
              <w:t xml:space="preserve">and Local </w:t>
            </w:r>
            <w:r w:rsidR="00B82A3C" w:rsidRPr="009B336E">
              <w:rPr>
                <w:rFonts w:cs="Arial"/>
                <w:b/>
                <w:sz w:val="24"/>
              </w:rPr>
              <w:t>Priorities</w:t>
            </w:r>
          </w:p>
        </w:tc>
      </w:tr>
      <w:tr w:rsidR="002E1132" w:rsidRPr="00C05EE3" w:rsidTr="002D4298">
        <w:trPr>
          <w:jc w:val="center"/>
        </w:trPr>
        <w:tc>
          <w:tcPr>
            <w:tcW w:w="5832" w:type="dxa"/>
            <w:shd w:val="clear" w:color="auto" w:fill="auto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2E1132" w:rsidRPr="00136CF4" w:rsidRDefault="002E1132" w:rsidP="00BC7602">
            <w:pPr>
              <w:ind w:right="72"/>
              <w:rPr>
                <w:rFonts w:cs="Arial"/>
                <w:b/>
                <w:i/>
                <w:sz w:val="22"/>
                <w:szCs w:val="22"/>
              </w:rPr>
            </w:pPr>
            <w:r w:rsidRPr="00136CF4">
              <w:rPr>
                <w:rFonts w:cs="Arial"/>
                <w:b/>
                <w:i/>
                <w:sz w:val="22"/>
                <w:szCs w:val="22"/>
              </w:rPr>
              <w:t xml:space="preserve">Who is living with HIV in the Houston </w:t>
            </w:r>
            <w:proofErr w:type="spellStart"/>
            <w:r w:rsidRPr="00136CF4">
              <w:rPr>
                <w:rFonts w:cs="Arial"/>
                <w:b/>
                <w:i/>
                <w:sz w:val="22"/>
                <w:szCs w:val="22"/>
              </w:rPr>
              <w:t>EMA?</w:t>
            </w:r>
            <w:r w:rsidRPr="00136CF4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2E1132" w:rsidRPr="00136CF4" w:rsidRDefault="00B20E7B" w:rsidP="00BC7602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36CF4">
              <w:rPr>
                <w:sz w:val="22"/>
                <w:szCs w:val="22"/>
              </w:rPr>
              <w:t>2</w:t>
            </w:r>
            <w:r w:rsidR="00136CF4" w:rsidRPr="00136CF4">
              <w:rPr>
                <w:sz w:val="22"/>
                <w:szCs w:val="22"/>
              </w:rPr>
              <w:t>7,023</w:t>
            </w:r>
            <w:r w:rsidR="009B336E" w:rsidRPr="00136CF4">
              <w:rPr>
                <w:sz w:val="22"/>
                <w:szCs w:val="22"/>
              </w:rPr>
              <w:t xml:space="preserve"> diagnosed </w:t>
            </w:r>
            <w:r w:rsidR="009B336E" w:rsidRPr="00136CF4">
              <w:rPr>
                <w:rFonts w:cs="Arial"/>
                <w:sz w:val="22"/>
                <w:szCs w:val="22"/>
              </w:rPr>
              <w:t>people were living with HIV (PLWH)</w:t>
            </w:r>
            <w:r w:rsidR="002E1132" w:rsidRPr="00136CF4">
              <w:rPr>
                <w:rFonts w:cs="Arial"/>
                <w:sz w:val="22"/>
                <w:szCs w:val="22"/>
              </w:rPr>
              <w:t xml:space="preserve"> in the EMA at the end of 201</w:t>
            </w:r>
            <w:r w:rsidR="00136CF4" w:rsidRPr="00136CF4">
              <w:rPr>
                <w:rFonts w:cs="Arial"/>
                <w:sz w:val="22"/>
                <w:szCs w:val="22"/>
              </w:rPr>
              <w:t>6</w:t>
            </w:r>
            <w:r w:rsidR="003B54C3" w:rsidRPr="00136CF4">
              <w:rPr>
                <w:rFonts w:cs="Arial"/>
                <w:sz w:val="22"/>
                <w:szCs w:val="22"/>
              </w:rPr>
              <w:t xml:space="preserve">. </w:t>
            </w:r>
            <w:r w:rsidR="002E1132" w:rsidRPr="00136CF4">
              <w:rPr>
                <w:rFonts w:cs="Arial"/>
                <w:sz w:val="22"/>
                <w:szCs w:val="22"/>
              </w:rPr>
              <w:t xml:space="preserve">Of all </w:t>
            </w:r>
            <w:r w:rsidR="00136CF4" w:rsidRPr="00136CF4">
              <w:rPr>
                <w:rFonts w:cs="Arial"/>
                <w:sz w:val="22"/>
                <w:szCs w:val="22"/>
              </w:rPr>
              <w:t xml:space="preserve">diagnosed </w:t>
            </w:r>
            <w:r w:rsidR="002E1132" w:rsidRPr="00136CF4">
              <w:rPr>
                <w:rFonts w:cs="Arial"/>
                <w:sz w:val="22"/>
                <w:szCs w:val="22"/>
              </w:rPr>
              <w:t>PLWH in the EMA:</w:t>
            </w:r>
          </w:p>
          <w:p w:rsidR="002E1132" w:rsidRPr="00136CF4" w:rsidRDefault="002E1132" w:rsidP="007E55C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136CF4">
              <w:rPr>
                <w:rFonts w:cs="Arial"/>
                <w:sz w:val="22"/>
                <w:szCs w:val="22"/>
              </w:rPr>
              <w:t>7</w:t>
            </w:r>
            <w:r w:rsidR="00B20E7B" w:rsidRPr="00136CF4">
              <w:rPr>
                <w:rFonts w:cs="Arial"/>
                <w:sz w:val="22"/>
                <w:szCs w:val="22"/>
              </w:rPr>
              <w:t>5</w:t>
            </w:r>
            <w:r w:rsidR="00136CF4" w:rsidRPr="00136CF4">
              <w:rPr>
                <w:rFonts w:cs="Arial"/>
                <w:sz w:val="22"/>
                <w:szCs w:val="22"/>
              </w:rPr>
              <w:t xml:space="preserve">% </w:t>
            </w:r>
            <w:r w:rsidR="00284407">
              <w:rPr>
                <w:rFonts w:cs="Arial"/>
                <w:sz w:val="22"/>
                <w:szCs w:val="22"/>
              </w:rPr>
              <w:t>are</w:t>
            </w:r>
            <w:r w:rsidR="00136CF4">
              <w:rPr>
                <w:rFonts w:cs="Arial"/>
                <w:sz w:val="22"/>
                <w:szCs w:val="22"/>
              </w:rPr>
              <w:t xml:space="preserve"> </w:t>
            </w:r>
            <w:r w:rsidR="00136CF4" w:rsidRPr="00136CF4">
              <w:rPr>
                <w:rFonts w:cs="Arial"/>
                <w:sz w:val="22"/>
                <w:szCs w:val="22"/>
              </w:rPr>
              <w:t xml:space="preserve">male </w:t>
            </w:r>
            <w:r w:rsidR="00B5304C">
              <w:rPr>
                <w:rFonts w:cs="Arial"/>
                <w:sz w:val="22"/>
                <w:szCs w:val="22"/>
              </w:rPr>
              <w:t>(sex at birth)</w:t>
            </w:r>
          </w:p>
          <w:p w:rsidR="002E1132" w:rsidRPr="00023280" w:rsidRDefault="00695395" w:rsidP="007E55C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023280">
              <w:rPr>
                <w:rFonts w:cs="Arial"/>
                <w:sz w:val="22"/>
                <w:szCs w:val="22"/>
              </w:rPr>
              <w:t>49</w:t>
            </w:r>
            <w:r w:rsidR="002E1132" w:rsidRPr="00023280">
              <w:rPr>
                <w:rFonts w:cs="Arial"/>
                <w:sz w:val="22"/>
                <w:szCs w:val="22"/>
              </w:rPr>
              <w:t>% a</w:t>
            </w:r>
            <w:r w:rsidR="00284407">
              <w:rPr>
                <w:rFonts w:cs="Arial"/>
                <w:sz w:val="22"/>
                <w:szCs w:val="22"/>
              </w:rPr>
              <w:t xml:space="preserve">re Black/African American; </w:t>
            </w:r>
            <w:r w:rsidR="00177A3B">
              <w:rPr>
                <w:rFonts w:cs="Arial"/>
                <w:sz w:val="22"/>
                <w:szCs w:val="22"/>
              </w:rPr>
              <w:t>28% are Hispanic</w:t>
            </w:r>
          </w:p>
          <w:p w:rsidR="002E1132" w:rsidRPr="00023280" w:rsidRDefault="00B5304C" w:rsidP="007E55C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023280">
              <w:rPr>
                <w:rFonts w:cs="Arial"/>
                <w:sz w:val="22"/>
                <w:szCs w:val="22"/>
              </w:rPr>
              <w:t>28% are between the ages of 4</w:t>
            </w:r>
            <w:r w:rsidR="002E1132" w:rsidRPr="00023280">
              <w:rPr>
                <w:rFonts w:cs="Arial"/>
                <w:sz w:val="22"/>
                <w:szCs w:val="22"/>
              </w:rPr>
              <w:t>5 and 54</w:t>
            </w:r>
            <w:r w:rsidRPr="00023280">
              <w:rPr>
                <w:rFonts w:cs="Arial"/>
                <w:sz w:val="22"/>
                <w:szCs w:val="22"/>
              </w:rPr>
              <w:t>;</w:t>
            </w:r>
            <w:r w:rsidR="00023280" w:rsidRPr="00023280">
              <w:rPr>
                <w:rFonts w:cs="Arial"/>
                <w:sz w:val="22"/>
                <w:szCs w:val="22"/>
              </w:rPr>
              <w:t xml:space="preserve"> 23% are 55+</w:t>
            </w:r>
            <w:r w:rsidRPr="00023280">
              <w:rPr>
                <w:rFonts w:cs="Arial"/>
                <w:sz w:val="22"/>
                <w:szCs w:val="22"/>
              </w:rPr>
              <w:t xml:space="preserve"> </w:t>
            </w:r>
          </w:p>
          <w:p w:rsidR="002E1132" w:rsidRPr="00023280" w:rsidRDefault="002E1132" w:rsidP="007E55C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023280">
              <w:rPr>
                <w:rFonts w:cs="Arial"/>
                <w:sz w:val="22"/>
                <w:szCs w:val="22"/>
              </w:rPr>
              <w:t>5</w:t>
            </w:r>
            <w:r w:rsidR="00023280" w:rsidRPr="00023280">
              <w:rPr>
                <w:rFonts w:cs="Arial"/>
                <w:sz w:val="22"/>
                <w:szCs w:val="22"/>
              </w:rPr>
              <w:t>7</w:t>
            </w:r>
            <w:r w:rsidRPr="00023280">
              <w:rPr>
                <w:rFonts w:cs="Arial"/>
                <w:sz w:val="22"/>
                <w:szCs w:val="22"/>
              </w:rPr>
              <w:t xml:space="preserve">% </w:t>
            </w:r>
            <w:r w:rsidR="00284407">
              <w:rPr>
                <w:rFonts w:cs="Arial"/>
                <w:sz w:val="22"/>
                <w:szCs w:val="22"/>
              </w:rPr>
              <w:t>have</w:t>
            </w:r>
            <w:r w:rsidRPr="00023280">
              <w:rPr>
                <w:rFonts w:cs="Arial"/>
                <w:sz w:val="22"/>
                <w:szCs w:val="22"/>
              </w:rPr>
              <w:t xml:space="preserve"> MSM</w:t>
            </w:r>
            <w:r w:rsidR="00284407">
              <w:rPr>
                <w:rFonts w:cs="Arial"/>
                <w:sz w:val="22"/>
                <w:szCs w:val="22"/>
              </w:rPr>
              <w:t xml:space="preserve"> risk factor</w:t>
            </w:r>
            <w:r w:rsidR="00023280" w:rsidRPr="00023280">
              <w:rPr>
                <w:rFonts w:cs="Arial"/>
                <w:sz w:val="22"/>
                <w:szCs w:val="22"/>
              </w:rPr>
              <w:t xml:space="preserve">; 29% </w:t>
            </w:r>
            <w:r w:rsidR="00284407">
              <w:rPr>
                <w:rFonts w:cs="Arial"/>
                <w:sz w:val="22"/>
                <w:szCs w:val="22"/>
              </w:rPr>
              <w:t>have</w:t>
            </w:r>
            <w:r w:rsidR="00023280" w:rsidRPr="00023280">
              <w:rPr>
                <w:rFonts w:cs="Arial"/>
                <w:sz w:val="22"/>
                <w:szCs w:val="22"/>
              </w:rPr>
              <w:t xml:space="preserve"> heterosexual</w:t>
            </w:r>
            <w:r w:rsidR="00284407">
              <w:rPr>
                <w:rFonts w:cs="Arial"/>
                <w:sz w:val="22"/>
                <w:szCs w:val="22"/>
              </w:rPr>
              <w:t xml:space="preserve"> risk factor</w:t>
            </w:r>
          </w:p>
          <w:p w:rsidR="002E1132" w:rsidRPr="005A3770" w:rsidRDefault="002E1132" w:rsidP="00BC7602">
            <w:pPr>
              <w:ind w:right="72"/>
              <w:rPr>
                <w:rFonts w:cs="Arial"/>
                <w:b/>
                <w:sz w:val="16"/>
                <w:szCs w:val="16"/>
              </w:rPr>
            </w:pPr>
          </w:p>
          <w:p w:rsidR="002E1132" w:rsidRPr="005A3770" w:rsidRDefault="002E1132" w:rsidP="00BC7602">
            <w:pPr>
              <w:ind w:right="72"/>
              <w:rPr>
                <w:rFonts w:cs="Arial"/>
                <w:b/>
                <w:i/>
                <w:sz w:val="22"/>
                <w:szCs w:val="22"/>
              </w:rPr>
            </w:pPr>
            <w:r w:rsidRPr="005A3770">
              <w:rPr>
                <w:rFonts w:cs="Arial"/>
                <w:b/>
                <w:i/>
                <w:sz w:val="22"/>
                <w:szCs w:val="22"/>
              </w:rPr>
              <w:t xml:space="preserve">Who is newly diagnosed with HIV in the Houston </w:t>
            </w:r>
            <w:proofErr w:type="spellStart"/>
            <w:r w:rsidRPr="005A3770">
              <w:rPr>
                <w:rFonts w:cs="Arial"/>
                <w:b/>
                <w:i/>
                <w:sz w:val="22"/>
                <w:szCs w:val="22"/>
              </w:rPr>
              <w:t>EMA?</w:t>
            </w:r>
            <w:r w:rsidRPr="005A3770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2E1132" w:rsidRPr="005A3770" w:rsidRDefault="005A3770" w:rsidP="00BC7602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5A3770">
              <w:rPr>
                <w:rFonts w:cs="Arial"/>
                <w:sz w:val="22"/>
                <w:szCs w:val="22"/>
              </w:rPr>
              <w:t>1,32</w:t>
            </w:r>
            <w:r w:rsidR="009946D1" w:rsidRPr="005A3770">
              <w:rPr>
                <w:rFonts w:cs="Arial"/>
                <w:sz w:val="22"/>
                <w:szCs w:val="22"/>
              </w:rPr>
              <w:t>5</w:t>
            </w:r>
            <w:r w:rsidR="00B20E7B" w:rsidRPr="005A3770">
              <w:rPr>
                <w:rFonts w:cs="Arial"/>
                <w:sz w:val="22"/>
                <w:szCs w:val="22"/>
              </w:rPr>
              <w:t xml:space="preserve"> </w:t>
            </w:r>
            <w:r w:rsidR="002E1132" w:rsidRPr="005A3770">
              <w:rPr>
                <w:rFonts w:cs="Arial"/>
                <w:sz w:val="22"/>
                <w:szCs w:val="22"/>
              </w:rPr>
              <w:t>people were newly diagnosed with HIV in the EMA in 201</w:t>
            </w:r>
            <w:r w:rsidRPr="005A3770">
              <w:rPr>
                <w:rFonts w:cs="Arial"/>
                <w:sz w:val="22"/>
                <w:szCs w:val="22"/>
              </w:rPr>
              <w:t>6</w:t>
            </w:r>
            <w:r w:rsidR="002E1132" w:rsidRPr="005A3770">
              <w:rPr>
                <w:rFonts w:cs="Arial"/>
                <w:sz w:val="22"/>
                <w:szCs w:val="22"/>
              </w:rPr>
              <w:t>. Of those newly diagnosed in 201</w:t>
            </w:r>
            <w:r w:rsidRPr="005A3770">
              <w:rPr>
                <w:rFonts w:cs="Arial"/>
                <w:sz w:val="22"/>
                <w:szCs w:val="22"/>
              </w:rPr>
              <w:t>6</w:t>
            </w:r>
          </w:p>
          <w:p w:rsidR="002E1132" w:rsidRPr="005A3770" w:rsidRDefault="003B54C3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5A3770">
              <w:rPr>
                <w:rFonts w:cs="Arial"/>
                <w:sz w:val="22"/>
                <w:szCs w:val="22"/>
              </w:rPr>
              <w:t>78</w:t>
            </w:r>
            <w:r w:rsidR="002E1132" w:rsidRPr="005A3770">
              <w:rPr>
                <w:rFonts w:cs="Arial"/>
                <w:sz w:val="22"/>
                <w:szCs w:val="22"/>
              </w:rPr>
              <w:t xml:space="preserve">% </w:t>
            </w:r>
            <w:r w:rsidR="005A3770" w:rsidRPr="005A3770">
              <w:rPr>
                <w:rFonts w:cs="Arial"/>
                <w:sz w:val="22"/>
                <w:szCs w:val="22"/>
              </w:rPr>
              <w:t>are</w:t>
            </w:r>
            <w:r w:rsidR="002E1132" w:rsidRPr="005A3770">
              <w:rPr>
                <w:rFonts w:cs="Arial"/>
                <w:sz w:val="22"/>
                <w:szCs w:val="22"/>
              </w:rPr>
              <w:t xml:space="preserve"> male</w:t>
            </w:r>
            <w:r w:rsidR="005A3770" w:rsidRPr="005A3770">
              <w:rPr>
                <w:rFonts w:cs="Arial"/>
                <w:sz w:val="22"/>
                <w:szCs w:val="22"/>
              </w:rPr>
              <w:t xml:space="preserve"> (sex at birth)</w:t>
            </w:r>
            <w:r w:rsidR="002E1132" w:rsidRPr="005A3770">
              <w:rPr>
                <w:rFonts w:cs="Arial"/>
                <w:sz w:val="22"/>
                <w:szCs w:val="22"/>
              </w:rPr>
              <w:t xml:space="preserve"> </w:t>
            </w:r>
          </w:p>
          <w:p w:rsidR="002E1132" w:rsidRPr="005A3770" w:rsidRDefault="005A3770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5A3770">
              <w:rPr>
                <w:rFonts w:cs="Arial"/>
                <w:sz w:val="22"/>
                <w:szCs w:val="22"/>
              </w:rPr>
              <w:t>47</w:t>
            </w:r>
            <w:r w:rsidR="002E1132" w:rsidRPr="005A3770">
              <w:rPr>
                <w:rFonts w:cs="Arial"/>
                <w:sz w:val="22"/>
                <w:szCs w:val="22"/>
              </w:rPr>
              <w:t xml:space="preserve">% </w:t>
            </w:r>
            <w:r w:rsidRPr="005A3770">
              <w:rPr>
                <w:rFonts w:cs="Arial"/>
                <w:sz w:val="22"/>
                <w:szCs w:val="22"/>
              </w:rPr>
              <w:t>are Black/</w:t>
            </w:r>
            <w:r w:rsidR="002E1132" w:rsidRPr="005A3770">
              <w:rPr>
                <w:rFonts w:cs="Arial"/>
                <w:sz w:val="22"/>
                <w:szCs w:val="22"/>
              </w:rPr>
              <w:t>African American</w:t>
            </w:r>
            <w:r w:rsidRPr="005A3770">
              <w:rPr>
                <w:rFonts w:cs="Arial"/>
                <w:sz w:val="22"/>
                <w:szCs w:val="22"/>
              </w:rPr>
              <w:t>; 35% are Hispanic</w:t>
            </w:r>
          </w:p>
          <w:p w:rsidR="002E1132" w:rsidRPr="00B136A4" w:rsidRDefault="005A3770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5A3770">
              <w:rPr>
                <w:rFonts w:cs="Arial"/>
                <w:sz w:val="22"/>
                <w:szCs w:val="22"/>
              </w:rPr>
              <w:t>39</w:t>
            </w:r>
            <w:r w:rsidR="003B54C3" w:rsidRPr="005A3770">
              <w:rPr>
                <w:rFonts w:cs="Arial"/>
                <w:sz w:val="22"/>
                <w:szCs w:val="22"/>
              </w:rPr>
              <w:t>% were between the ages of</w:t>
            </w:r>
            <w:r w:rsidRPr="005A3770">
              <w:rPr>
                <w:rFonts w:cs="Arial"/>
                <w:sz w:val="22"/>
                <w:szCs w:val="22"/>
              </w:rPr>
              <w:t xml:space="preserve"> 25 and 34; 22% were between the </w:t>
            </w:r>
            <w:r w:rsidRPr="00B136A4">
              <w:rPr>
                <w:rFonts w:cs="Arial"/>
                <w:sz w:val="22"/>
                <w:szCs w:val="22"/>
              </w:rPr>
              <w:t>ages of 13 and 24</w:t>
            </w:r>
            <w:r w:rsidR="002E1132" w:rsidRPr="00B136A4">
              <w:rPr>
                <w:rFonts w:cs="Arial"/>
                <w:sz w:val="22"/>
                <w:szCs w:val="22"/>
              </w:rPr>
              <w:t xml:space="preserve"> </w:t>
            </w:r>
          </w:p>
          <w:p w:rsidR="002E1132" w:rsidRPr="00B136A4" w:rsidRDefault="002E1132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 w:rsidRPr="00B136A4">
              <w:rPr>
                <w:rFonts w:cs="Arial"/>
                <w:sz w:val="22"/>
                <w:szCs w:val="22"/>
              </w:rPr>
              <w:t>6</w:t>
            </w:r>
            <w:r w:rsidR="009946D1" w:rsidRPr="00B136A4">
              <w:rPr>
                <w:rFonts w:cs="Arial"/>
                <w:sz w:val="22"/>
                <w:szCs w:val="22"/>
              </w:rPr>
              <w:t>6</w:t>
            </w:r>
            <w:r w:rsidRPr="00B136A4">
              <w:rPr>
                <w:rFonts w:cs="Arial"/>
                <w:sz w:val="22"/>
                <w:szCs w:val="22"/>
              </w:rPr>
              <w:t xml:space="preserve">% </w:t>
            </w:r>
            <w:r w:rsidR="0026316E">
              <w:rPr>
                <w:rFonts w:cs="Arial"/>
                <w:sz w:val="22"/>
                <w:szCs w:val="22"/>
              </w:rPr>
              <w:t>have</w:t>
            </w:r>
            <w:r w:rsidRPr="00B136A4">
              <w:rPr>
                <w:rFonts w:cs="Arial"/>
                <w:sz w:val="22"/>
                <w:szCs w:val="22"/>
              </w:rPr>
              <w:t xml:space="preserve"> MSM</w:t>
            </w:r>
            <w:r w:rsidR="0026316E">
              <w:rPr>
                <w:rFonts w:cs="Arial"/>
                <w:sz w:val="22"/>
                <w:szCs w:val="22"/>
              </w:rPr>
              <w:t xml:space="preserve"> risk factor</w:t>
            </w:r>
          </w:p>
          <w:p w:rsidR="003B54C3" w:rsidRPr="00B136A4" w:rsidRDefault="003B54C3" w:rsidP="00BC7602">
            <w:pPr>
              <w:ind w:right="72"/>
              <w:rPr>
                <w:rFonts w:cs="Arial"/>
                <w:sz w:val="16"/>
                <w:szCs w:val="16"/>
              </w:rPr>
            </w:pPr>
          </w:p>
          <w:p w:rsidR="002E1132" w:rsidRPr="00B136A4" w:rsidRDefault="002E1132" w:rsidP="00BC7602">
            <w:pPr>
              <w:ind w:right="72"/>
              <w:rPr>
                <w:rFonts w:cs="Arial"/>
                <w:sz w:val="22"/>
                <w:szCs w:val="22"/>
              </w:rPr>
            </w:pPr>
            <w:r w:rsidRPr="00B136A4">
              <w:rPr>
                <w:rFonts w:cs="Arial"/>
                <w:sz w:val="22"/>
                <w:szCs w:val="22"/>
              </w:rPr>
              <w:t xml:space="preserve">It is estimated that </w:t>
            </w:r>
            <w:r w:rsidR="003B54C3" w:rsidRPr="00B136A4">
              <w:rPr>
                <w:rFonts w:cs="Arial"/>
                <w:sz w:val="22"/>
                <w:szCs w:val="22"/>
              </w:rPr>
              <w:t xml:space="preserve">an additional </w:t>
            </w:r>
            <w:r w:rsidR="00B136A4" w:rsidRPr="00B136A4">
              <w:rPr>
                <w:rFonts w:cs="Arial"/>
                <w:sz w:val="22"/>
                <w:szCs w:val="22"/>
              </w:rPr>
              <w:t>5,653</w:t>
            </w:r>
            <w:r w:rsidR="00B20E7B" w:rsidRPr="00B136A4">
              <w:rPr>
                <w:rFonts w:cs="Arial"/>
                <w:sz w:val="22"/>
                <w:szCs w:val="22"/>
              </w:rPr>
              <w:t xml:space="preserve"> </w:t>
            </w:r>
            <w:r w:rsidRPr="00B136A4">
              <w:rPr>
                <w:rFonts w:cs="Arial"/>
                <w:sz w:val="22"/>
                <w:szCs w:val="22"/>
              </w:rPr>
              <w:t>people in the EMA are</w:t>
            </w:r>
            <w:r w:rsidR="005A3770" w:rsidRPr="00B136A4">
              <w:rPr>
                <w:rFonts w:cs="Arial"/>
                <w:sz w:val="22"/>
                <w:szCs w:val="22"/>
              </w:rPr>
              <w:t xml:space="preserve"> living with HIV but</w:t>
            </w:r>
            <w:r w:rsidRPr="00B136A4">
              <w:rPr>
                <w:rFonts w:cs="Arial"/>
                <w:sz w:val="22"/>
                <w:szCs w:val="22"/>
              </w:rPr>
              <w:t xml:space="preserve"> unaware of their status.</w:t>
            </w:r>
          </w:p>
          <w:p w:rsidR="002E1132" w:rsidRPr="00520C8F" w:rsidRDefault="002E1132" w:rsidP="00BC7602">
            <w:pPr>
              <w:ind w:right="72"/>
              <w:rPr>
                <w:rFonts w:cs="Arial"/>
                <w:b/>
                <w:i/>
                <w:sz w:val="16"/>
                <w:szCs w:val="16"/>
                <w:highlight w:val="yellow"/>
              </w:rPr>
            </w:pPr>
          </w:p>
          <w:p w:rsidR="002E1132" w:rsidRDefault="000728DC" w:rsidP="00BC7602">
            <w:pPr>
              <w:ind w:right="72"/>
              <w:rPr>
                <w:rFonts w:cs="Arial"/>
                <w:b/>
                <w:i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W</w:t>
            </w:r>
            <w:r w:rsidR="00B136A4">
              <w:rPr>
                <w:rFonts w:cs="Arial"/>
                <w:b/>
                <w:i/>
                <w:sz w:val="22"/>
                <w:szCs w:val="22"/>
              </w:rPr>
              <w:t>hich</w:t>
            </w:r>
            <w:r w:rsidR="002E1132" w:rsidRPr="00B136A4">
              <w:rPr>
                <w:rFonts w:cs="Arial"/>
                <w:b/>
                <w:i/>
                <w:sz w:val="22"/>
                <w:szCs w:val="22"/>
              </w:rPr>
              <w:t xml:space="preserve"> groups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in the Houston EMA are experiencing increasing rates of new</w:t>
            </w:r>
            <w:r w:rsidR="00307FC9">
              <w:rPr>
                <w:rFonts w:cs="Arial"/>
                <w:b/>
                <w:i/>
                <w:sz w:val="22"/>
                <w:szCs w:val="22"/>
              </w:rPr>
              <w:t xml:space="preserve"> HIV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diagnose</w:t>
            </w:r>
            <w:r w:rsidR="00A24F9D">
              <w:rPr>
                <w:rFonts w:cs="Arial"/>
                <w:b/>
                <w:i/>
                <w:sz w:val="22"/>
                <w:szCs w:val="22"/>
              </w:rPr>
              <w:t>s</w:t>
            </w:r>
            <w:r w:rsidR="00307FC9">
              <w:rPr>
                <w:rFonts w:cs="Arial"/>
                <w:b/>
                <w:i/>
                <w:sz w:val="22"/>
                <w:szCs w:val="22"/>
              </w:rPr>
              <w:t>?</w:t>
            </w:r>
            <w:r w:rsidR="009946D1" w:rsidRPr="00B136A4">
              <w:rPr>
                <w:rFonts w:cs="Arial"/>
                <w:b/>
                <w:i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585BF3" w:rsidRDefault="00E27B41" w:rsidP="00BC7602">
            <w:pPr>
              <w:ind w:right="72"/>
              <w:rPr>
                <w:rFonts w:cs="Arial"/>
                <w:sz w:val="22"/>
                <w:szCs w:val="22"/>
              </w:rPr>
            </w:pPr>
            <w:r w:rsidRPr="00E27B41">
              <w:rPr>
                <w:rFonts w:cs="Arial"/>
                <w:sz w:val="22"/>
                <w:szCs w:val="22"/>
              </w:rPr>
              <w:t xml:space="preserve">Relative rates of increase </w:t>
            </w:r>
            <w:r w:rsidR="00A450EE">
              <w:rPr>
                <w:rFonts w:cs="Arial"/>
                <w:sz w:val="22"/>
                <w:szCs w:val="22"/>
              </w:rPr>
              <w:t>for</w:t>
            </w:r>
            <w:r w:rsidR="0026316E">
              <w:rPr>
                <w:rFonts w:cs="Arial"/>
                <w:sz w:val="22"/>
                <w:szCs w:val="22"/>
              </w:rPr>
              <w:t xml:space="preserve"> new HIV diagnoses can indicate</w:t>
            </w:r>
            <w:r w:rsidR="00A450EE">
              <w:rPr>
                <w:rFonts w:cs="Arial"/>
                <w:sz w:val="22"/>
                <w:szCs w:val="22"/>
              </w:rPr>
              <w:t xml:space="preserve"> new and emerging populatio</w:t>
            </w:r>
            <w:r w:rsidR="000728DC">
              <w:rPr>
                <w:rFonts w:cs="Arial"/>
                <w:sz w:val="22"/>
                <w:szCs w:val="22"/>
              </w:rPr>
              <w:t xml:space="preserve">ns while accounting for the size of each group within the population. </w:t>
            </w:r>
            <w:r w:rsidR="00585BF3">
              <w:rPr>
                <w:rFonts w:cs="Arial"/>
                <w:sz w:val="22"/>
                <w:szCs w:val="22"/>
              </w:rPr>
              <w:t>Though the overall HIV diagnosis rate decreased by 9% b</w:t>
            </w:r>
            <w:r w:rsidR="000728DC">
              <w:rPr>
                <w:rFonts w:cs="Arial"/>
                <w:sz w:val="22"/>
                <w:szCs w:val="22"/>
              </w:rPr>
              <w:t>etween 2011</w:t>
            </w:r>
            <w:r w:rsidR="00585BF3">
              <w:rPr>
                <w:rFonts w:cs="Arial"/>
                <w:sz w:val="22"/>
                <w:szCs w:val="22"/>
              </w:rPr>
              <w:t xml:space="preserve"> and 2016, two populatio</w:t>
            </w:r>
            <w:r w:rsidR="00AA589B">
              <w:rPr>
                <w:rFonts w:cs="Arial"/>
                <w:sz w:val="22"/>
                <w:szCs w:val="22"/>
              </w:rPr>
              <w:t>ns in the Houston EMA have experienced</w:t>
            </w:r>
            <w:r w:rsidR="00585BF3">
              <w:rPr>
                <w:rFonts w:cs="Arial"/>
                <w:sz w:val="22"/>
                <w:szCs w:val="22"/>
              </w:rPr>
              <w:t xml:space="preserve"> increases in the relative rates of new diagnoses:</w:t>
            </w:r>
          </w:p>
          <w:p w:rsidR="00585BF3" w:rsidRPr="00B136A4" w:rsidRDefault="00585BF3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33% </w:t>
            </w:r>
            <w:r w:rsidR="009049BE">
              <w:rPr>
                <w:rFonts w:cs="Arial"/>
                <w:sz w:val="22"/>
                <w:szCs w:val="22"/>
              </w:rPr>
              <w:t xml:space="preserve">relative rate </w:t>
            </w:r>
            <w:r>
              <w:rPr>
                <w:rFonts w:cs="Arial"/>
                <w:sz w:val="22"/>
                <w:szCs w:val="22"/>
              </w:rPr>
              <w:t>incr</w:t>
            </w:r>
            <w:r w:rsidR="009049BE">
              <w:rPr>
                <w:rFonts w:cs="Arial"/>
                <w:sz w:val="22"/>
                <w:szCs w:val="22"/>
              </w:rPr>
              <w:t>ease among individuals ages 25-34</w:t>
            </w:r>
          </w:p>
          <w:p w:rsidR="00585BF3" w:rsidRPr="00B136A4" w:rsidRDefault="009049BE" w:rsidP="006D6030">
            <w:pPr>
              <w:pStyle w:val="ListParagraph"/>
              <w:numPr>
                <w:ilvl w:val="0"/>
                <w:numId w:val="6"/>
              </w:numPr>
              <w:ind w:left="281" w:hanging="28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3% relative rate increase among Hispanic individuals</w:t>
            </w:r>
          </w:p>
          <w:p w:rsidR="00A450EE" w:rsidRDefault="00A450E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Default="009049B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Default="009049B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Default="009049B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Default="009049B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Default="009049BE" w:rsidP="00BC7602">
            <w:pPr>
              <w:ind w:right="72"/>
              <w:rPr>
                <w:rFonts w:cs="Arial"/>
                <w:sz w:val="22"/>
                <w:szCs w:val="22"/>
              </w:rPr>
            </w:pPr>
          </w:p>
          <w:p w:rsidR="009049BE" w:rsidRPr="00AA589B" w:rsidRDefault="009049BE" w:rsidP="009049BE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  <w:r w:rsidRPr="00AA589B">
              <w:rPr>
                <w:rFonts w:cs="Arial"/>
                <w:sz w:val="14"/>
                <w:szCs w:val="14"/>
                <w:u w:val="single"/>
              </w:rPr>
              <w:t>Source:</w:t>
            </w:r>
          </w:p>
          <w:p w:rsidR="009049BE" w:rsidRPr="00AA589B" w:rsidRDefault="009049BE" w:rsidP="009049BE">
            <w:pPr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AA589B">
              <w:rPr>
                <w:rFonts w:cs="Arial"/>
                <w:sz w:val="14"/>
                <w:szCs w:val="14"/>
                <w:vertAlign w:val="superscript"/>
              </w:rPr>
              <w:t>a</w:t>
            </w:r>
            <w:r w:rsidRPr="00AA589B">
              <w:rPr>
                <w:rFonts w:cs="Arial"/>
                <w:sz w:val="14"/>
                <w:szCs w:val="14"/>
              </w:rPr>
              <w:t>2018</w:t>
            </w:r>
            <w:proofErr w:type="spellEnd"/>
            <w:r w:rsidRPr="00AA589B">
              <w:rPr>
                <w:rFonts w:cs="Arial"/>
                <w:sz w:val="14"/>
                <w:szCs w:val="14"/>
                <w:vertAlign w:val="superscript"/>
              </w:rPr>
              <w:t xml:space="preserve"> </w:t>
            </w:r>
            <w:r w:rsidRPr="00AA589B">
              <w:rPr>
                <w:rFonts w:cs="Arial"/>
                <w:sz w:val="14"/>
                <w:szCs w:val="14"/>
              </w:rPr>
              <w:t xml:space="preserve">Epidemiological Profile – In Progress </w:t>
            </w:r>
          </w:p>
          <w:p w:rsidR="009049BE" w:rsidRPr="007A274E" w:rsidRDefault="009049BE" w:rsidP="009049BE">
            <w:pPr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7A274E">
              <w:rPr>
                <w:rFonts w:cs="Arial"/>
                <w:i/>
                <w:sz w:val="22"/>
                <w:szCs w:val="22"/>
              </w:rPr>
              <w:lastRenderedPageBreak/>
              <w:t>Con’t</w:t>
            </w:r>
            <w:proofErr w:type="spellEnd"/>
            <w:r w:rsidRPr="007A274E">
              <w:rPr>
                <w:rFonts w:cs="Arial"/>
                <w:i/>
                <w:sz w:val="22"/>
                <w:szCs w:val="22"/>
              </w:rPr>
              <w:t xml:space="preserve"> from Page 1</w:t>
            </w:r>
          </w:p>
          <w:p w:rsidR="00A450EE" w:rsidRPr="007C4684" w:rsidRDefault="00A450EE" w:rsidP="00BC7602">
            <w:pPr>
              <w:ind w:right="72"/>
              <w:rPr>
                <w:rFonts w:cs="Arial"/>
                <w:sz w:val="16"/>
                <w:szCs w:val="16"/>
              </w:rPr>
            </w:pPr>
          </w:p>
          <w:p w:rsidR="009049BE" w:rsidRDefault="009049BE" w:rsidP="009049BE">
            <w:pPr>
              <w:ind w:right="72"/>
              <w:rPr>
                <w:rFonts w:cs="Arial"/>
                <w:b/>
                <w:i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Which</w:t>
            </w:r>
            <w:r w:rsidRPr="00B136A4">
              <w:rPr>
                <w:rFonts w:cs="Arial"/>
                <w:b/>
                <w:i/>
                <w:sz w:val="22"/>
                <w:szCs w:val="22"/>
              </w:rPr>
              <w:t xml:space="preserve"> groups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136A4">
              <w:rPr>
                <w:rFonts w:cs="Arial"/>
                <w:b/>
                <w:i/>
                <w:sz w:val="22"/>
                <w:szCs w:val="22"/>
              </w:rPr>
              <w:t>in the Houston EMA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="007A274E">
              <w:rPr>
                <w:rFonts w:cs="Arial"/>
                <w:b/>
                <w:i/>
                <w:sz w:val="22"/>
                <w:szCs w:val="22"/>
              </w:rPr>
              <w:t>experience</w:t>
            </w:r>
            <w:r w:rsidR="004E2BA9">
              <w:rPr>
                <w:rFonts w:cs="Arial"/>
                <w:b/>
                <w:i/>
                <w:sz w:val="22"/>
                <w:szCs w:val="22"/>
              </w:rPr>
              <w:t xml:space="preserve"> disproportionately higher</w:t>
            </w:r>
            <w:r w:rsidR="00371C16">
              <w:rPr>
                <w:rFonts w:cs="Arial"/>
                <w:b/>
                <w:i/>
                <w:sz w:val="22"/>
                <w:szCs w:val="22"/>
              </w:rPr>
              <w:t xml:space="preserve"> rates of</w:t>
            </w:r>
            <w:r w:rsidR="004E2BA9">
              <w:rPr>
                <w:rFonts w:cs="Arial"/>
                <w:b/>
                <w:i/>
                <w:sz w:val="22"/>
                <w:szCs w:val="22"/>
              </w:rPr>
              <w:t xml:space="preserve"> new </w:t>
            </w:r>
            <w:r w:rsidR="007A274E">
              <w:rPr>
                <w:rFonts w:cs="Arial"/>
                <w:b/>
                <w:i/>
                <w:sz w:val="22"/>
                <w:szCs w:val="22"/>
              </w:rPr>
              <w:t>HIV</w:t>
            </w:r>
            <w:r w:rsidR="004E2BA9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E2BA9">
              <w:rPr>
                <w:rFonts w:cs="Arial"/>
                <w:b/>
                <w:i/>
                <w:sz w:val="22"/>
                <w:szCs w:val="22"/>
              </w:rPr>
              <w:t>diagnoses</w:t>
            </w:r>
            <w:r w:rsidR="00AA589B">
              <w:rPr>
                <w:rFonts w:cs="Arial"/>
                <w:b/>
                <w:i/>
                <w:sz w:val="22"/>
                <w:szCs w:val="22"/>
              </w:rPr>
              <w:t>?</w:t>
            </w:r>
            <w:r w:rsidRPr="00B136A4">
              <w:rPr>
                <w:rFonts w:cs="Arial"/>
                <w:b/>
                <w:i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E27B41" w:rsidRDefault="00AA589B" w:rsidP="00BC7602">
            <w:pPr>
              <w:ind w:right="72"/>
              <w:rPr>
                <w:rFonts w:cs="Arial"/>
                <w:sz w:val="22"/>
                <w:szCs w:val="22"/>
              </w:rPr>
            </w:pPr>
            <w:r w:rsidRPr="00AA589B">
              <w:rPr>
                <w:rFonts w:cs="Arial"/>
                <w:sz w:val="22"/>
                <w:szCs w:val="22"/>
              </w:rPr>
              <w:t>Using the total 2016 Houston EMA HIV diagnosis rate (21.9 per 100,000 population) as a benchmark,</w:t>
            </w:r>
            <w:r w:rsidR="004E2BA9">
              <w:rPr>
                <w:rFonts w:cs="Arial"/>
                <w:sz w:val="22"/>
                <w:szCs w:val="22"/>
              </w:rPr>
              <w:t xml:space="preserve"> the following populations experience </w:t>
            </w:r>
            <w:r w:rsidRPr="00AA589B">
              <w:rPr>
                <w:rFonts w:cs="Arial"/>
                <w:sz w:val="22"/>
                <w:szCs w:val="22"/>
              </w:rPr>
              <w:t>disproportionate</w:t>
            </w:r>
            <w:r w:rsidR="004E2BA9">
              <w:rPr>
                <w:rFonts w:cs="Arial"/>
                <w:sz w:val="22"/>
                <w:szCs w:val="22"/>
              </w:rPr>
              <w:t>ly higher</w:t>
            </w:r>
            <w:r w:rsidRPr="00AA589B">
              <w:rPr>
                <w:rFonts w:cs="Arial"/>
                <w:sz w:val="22"/>
                <w:szCs w:val="22"/>
              </w:rPr>
              <w:t xml:space="preserve"> rates of new HIV diagnoses</w:t>
            </w:r>
            <w:r w:rsidR="004E2BA9">
              <w:rPr>
                <w:rFonts w:cs="Arial"/>
                <w:sz w:val="22"/>
                <w:szCs w:val="22"/>
              </w:rPr>
              <w:t>:</w:t>
            </w:r>
          </w:p>
          <w:p w:rsidR="00AD6E05" w:rsidRDefault="00AD6E05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163% higher rate among Black/African Americans</w:t>
            </w:r>
            <w:r w:rsidR="00976CFC">
              <w:rPr>
                <w:rFonts w:cs="Arial"/>
                <w:sz w:val="22"/>
                <w:szCs w:val="22"/>
              </w:rPr>
              <w:t xml:space="preserve"> individuals </w:t>
            </w:r>
          </w:p>
          <w:p w:rsidR="00AD6E05" w:rsidRDefault="00CC4D41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156</w:t>
            </w:r>
            <w:r w:rsidR="00AD6E05">
              <w:rPr>
                <w:rFonts w:cs="Arial"/>
                <w:sz w:val="22"/>
                <w:szCs w:val="22"/>
              </w:rPr>
              <w:t xml:space="preserve">% higher rate among individuals age </w:t>
            </w:r>
            <w:r w:rsidR="00AD6E05" w:rsidRPr="004E2BA9">
              <w:rPr>
                <w:rFonts w:cs="Arial"/>
                <w:sz w:val="22"/>
                <w:szCs w:val="22"/>
              </w:rPr>
              <w:t>25-34</w:t>
            </w:r>
          </w:p>
          <w:p w:rsidR="00AD6E05" w:rsidRDefault="004E2BA9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 w:rsidRPr="00AD6E05">
              <w:rPr>
                <w:rFonts w:cs="Arial"/>
                <w:sz w:val="22"/>
                <w:szCs w:val="22"/>
              </w:rPr>
              <w:t>58% higher</w:t>
            </w:r>
            <w:r w:rsidR="00976CFC">
              <w:rPr>
                <w:rFonts w:cs="Arial"/>
                <w:sz w:val="22"/>
                <w:szCs w:val="22"/>
              </w:rPr>
              <w:t xml:space="preserve"> rate among males (sex at birth)</w:t>
            </w:r>
          </w:p>
          <w:p w:rsidR="004E2BA9" w:rsidRPr="004E2BA9" w:rsidRDefault="00976CFC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30% higher rate among individuals age</w:t>
            </w:r>
            <w:r w:rsidR="004E2BA9" w:rsidRPr="004E2BA9">
              <w:rPr>
                <w:rFonts w:cs="Arial"/>
                <w:sz w:val="22"/>
                <w:szCs w:val="22"/>
              </w:rPr>
              <w:t xml:space="preserve"> 13-24</w:t>
            </w:r>
          </w:p>
          <w:p w:rsidR="004E2BA9" w:rsidRPr="004E2BA9" w:rsidRDefault="00976CFC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23% higher rate among individuals age </w:t>
            </w:r>
            <w:r w:rsidR="004E2BA9" w:rsidRPr="004E2BA9">
              <w:rPr>
                <w:rFonts w:cs="Arial"/>
                <w:sz w:val="22"/>
                <w:szCs w:val="22"/>
              </w:rPr>
              <w:t>35-44</w:t>
            </w:r>
          </w:p>
          <w:p w:rsidR="004E2BA9" w:rsidRDefault="00976CFC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11% higher rate among individuals age </w:t>
            </w:r>
            <w:r w:rsidR="004E2BA9" w:rsidRPr="004E2BA9">
              <w:rPr>
                <w:rFonts w:cs="Arial"/>
                <w:sz w:val="22"/>
                <w:szCs w:val="22"/>
              </w:rPr>
              <w:t>45-54</w:t>
            </w:r>
          </w:p>
          <w:p w:rsidR="00976CFC" w:rsidRPr="007C4684" w:rsidRDefault="00976CFC" w:rsidP="00976CFC">
            <w:pPr>
              <w:ind w:right="72"/>
              <w:rPr>
                <w:rFonts w:cs="Arial"/>
                <w:sz w:val="16"/>
                <w:szCs w:val="16"/>
              </w:rPr>
            </w:pPr>
          </w:p>
          <w:p w:rsidR="00F012C8" w:rsidRDefault="00976CFC" w:rsidP="00976CFC">
            <w:pPr>
              <w:ind w:right="72"/>
              <w:rPr>
                <w:rFonts w:cs="Arial"/>
                <w:sz w:val="22"/>
                <w:szCs w:val="22"/>
              </w:rPr>
            </w:pPr>
            <w:r w:rsidRPr="00976CFC">
              <w:rPr>
                <w:rFonts w:cs="Arial"/>
                <w:sz w:val="22"/>
                <w:szCs w:val="22"/>
              </w:rPr>
              <w:t xml:space="preserve">While </w:t>
            </w:r>
            <w:r w:rsidR="00371C16">
              <w:rPr>
                <w:rFonts w:cs="Arial"/>
                <w:sz w:val="22"/>
                <w:szCs w:val="22"/>
              </w:rPr>
              <w:t xml:space="preserve">there has been no change in </w:t>
            </w:r>
            <w:r w:rsidR="00371C16" w:rsidRPr="00371C16">
              <w:rPr>
                <w:rFonts w:cs="Arial"/>
                <w:b/>
                <w:i/>
                <w:sz w:val="22"/>
                <w:szCs w:val="22"/>
              </w:rPr>
              <w:t>which</w:t>
            </w:r>
            <w:r w:rsidR="00371C16">
              <w:rPr>
                <w:rFonts w:cs="Arial"/>
                <w:sz w:val="22"/>
                <w:szCs w:val="22"/>
              </w:rPr>
              <w:t xml:space="preserve"> groups experience disproportionally higher rates of new diagnoses since 2011, the </w:t>
            </w:r>
            <w:r w:rsidR="00F012C8">
              <w:rPr>
                <w:rFonts w:cs="Arial"/>
                <w:b/>
                <w:i/>
                <w:sz w:val="22"/>
                <w:szCs w:val="22"/>
              </w:rPr>
              <w:t>extent</w:t>
            </w:r>
            <w:r w:rsidRPr="00F012C8">
              <w:rPr>
                <w:rFonts w:cs="Arial"/>
                <w:b/>
                <w:i/>
                <w:sz w:val="22"/>
                <w:szCs w:val="22"/>
              </w:rPr>
              <w:t xml:space="preserve"> of disproportionality</w:t>
            </w:r>
            <w:r w:rsidRPr="00976CFC">
              <w:rPr>
                <w:rFonts w:cs="Arial"/>
                <w:sz w:val="22"/>
                <w:szCs w:val="22"/>
              </w:rPr>
              <w:t xml:space="preserve"> within each population group </w:t>
            </w:r>
            <w:r w:rsidR="007F79C4">
              <w:rPr>
                <w:rFonts w:cs="Arial"/>
                <w:sz w:val="22"/>
                <w:szCs w:val="22"/>
              </w:rPr>
              <w:t xml:space="preserve">changed in the Houston EMA between </w:t>
            </w:r>
            <w:r w:rsidR="00F012C8">
              <w:rPr>
                <w:rFonts w:cs="Arial"/>
                <w:sz w:val="22"/>
                <w:szCs w:val="22"/>
              </w:rPr>
              <w:t>2011 and 2016</w:t>
            </w:r>
            <w:r w:rsidRPr="00976CFC">
              <w:rPr>
                <w:rFonts w:cs="Arial"/>
                <w:sz w:val="22"/>
                <w:szCs w:val="22"/>
              </w:rPr>
              <w:t>.</w:t>
            </w:r>
            <w:r w:rsidR="00F012C8">
              <w:rPr>
                <w:rFonts w:cs="Arial"/>
                <w:sz w:val="22"/>
                <w:szCs w:val="22"/>
              </w:rPr>
              <w:t xml:space="preserve"> The following groups experienced the greatest</w:t>
            </w:r>
            <w:r w:rsidR="00BC09E8">
              <w:rPr>
                <w:rFonts w:cs="Arial"/>
                <w:sz w:val="22"/>
                <w:szCs w:val="22"/>
              </w:rPr>
              <w:t xml:space="preserve"> increase in </w:t>
            </w:r>
            <w:r w:rsidR="00D57F72">
              <w:rPr>
                <w:rFonts w:cs="Arial"/>
                <w:sz w:val="22"/>
                <w:szCs w:val="22"/>
              </w:rPr>
              <w:t xml:space="preserve">extent of </w:t>
            </w:r>
            <w:r w:rsidR="00BC09E8">
              <w:rPr>
                <w:rFonts w:cs="Arial"/>
                <w:sz w:val="22"/>
                <w:szCs w:val="22"/>
              </w:rPr>
              <w:t>disproportionality</w:t>
            </w:r>
            <w:r w:rsidR="00F012C8">
              <w:rPr>
                <w:rFonts w:cs="Arial"/>
                <w:sz w:val="22"/>
                <w:szCs w:val="22"/>
              </w:rPr>
              <w:t>:</w:t>
            </w:r>
          </w:p>
          <w:p w:rsidR="00BC09E8" w:rsidRDefault="00F012C8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81 percentage point increase </w:t>
            </w:r>
            <w:r w:rsidR="00BC09E8">
              <w:rPr>
                <w:rFonts w:cs="Arial"/>
                <w:sz w:val="22"/>
                <w:szCs w:val="22"/>
              </w:rPr>
              <w:t xml:space="preserve">among individuals age </w:t>
            </w:r>
            <w:r w:rsidR="00BC09E8" w:rsidRPr="004E2BA9">
              <w:rPr>
                <w:rFonts w:cs="Arial"/>
                <w:sz w:val="22"/>
                <w:szCs w:val="22"/>
              </w:rPr>
              <w:t>25-34</w:t>
            </w:r>
          </w:p>
          <w:p w:rsidR="00F012C8" w:rsidRPr="00D57F72" w:rsidRDefault="00BC09E8" w:rsidP="006D6030">
            <w:pPr>
              <w:pStyle w:val="ListParagraph"/>
              <w:numPr>
                <w:ilvl w:val="0"/>
                <w:numId w:val="6"/>
              </w:numPr>
              <w:ind w:right="72"/>
              <w:rPr>
                <w:rFonts w:cs="Arial"/>
                <w:sz w:val="22"/>
                <w:szCs w:val="22"/>
              </w:rPr>
            </w:pPr>
            <w:r w:rsidRPr="00BC09E8">
              <w:rPr>
                <w:rFonts w:cs="Arial"/>
                <w:sz w:val="22"/>
                <w:szCs w:val="22"/>
              </w:rPr>
              <w:t>11 percentage point increase among Hispanic individuals</w:t>
            </w:r>
          </w:p>
          <w:p w:rsidR="002E1132" w:rsidRPr="00520C8F" w:rsidRDefault="002E1132" w:rsidP="00BC7602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:rsidR="002E1132" w:rsidRPr="00620556" w:rsidRDefault="002E1132" w:rsidP="00BC7602">
            <w:pPr>
              <w:ind w:right="72"/>
              <w:rPr>
                <w:rFonts w:cs="Arial"/>
                <w:b/>
                <w:i/>
                <w:sz w:val="22"/>
                <w:szCs w:val="22"/>
                <w:vertAlign w:val="superscript"/>
              </w:rPr>
            </w:pPr>
            <w:r w:rsidRPr="00620556">
              <w:rPr>
                <w:rFonts w:cs="Arial"/>
                <w:b/>
                <w:i/>
                <w:sz w:val="22"/>
                <w:szCs w:val="22"/>
              </w:rPr>
              <w:t xml:space="preserve">How does the Houston EMA compare to </w:t>
            </w:r>
            <w:r w:rsidR="004A49EC" w:rsidRPr="00620556">
              <w:rPr>
                <w:rFonts w:cs="Arial"/>
                <w:b/>
                <w:i/>
                <w:sz w:val="22"/>
                <w:szCs w:val="22"/>
              </w:rPr>
              <w:t>Texas</w:t>
            </w:r>
            <w:r w:rsidR="006B4FD3" w:rsidRPr="00620556">
              <w:rPr>
                <w:rFonts w:cs="Arial"/>
                <w:b/>
                <w:i/>
                <w:sz w:val="22"/>
                <w:szCs w:val="22"/>
                <w:vertAlign w:val="superscript"/>
              </w:rPr>
              <w:t xml:space="preserve"> a</w:t>
            </w:r>
          </w:p>
          <w:p w:rsidR="00FB21C8" w:rsidRPr="00B40A51" w:rsidRDefault="00B40A51" w:rsidP="006D6030">
            <w:pPr>
              <w:pStyle w:val="ListParagraph"/>
              <w:numPr>
                <w:ilvl w:val="0"/>
                <w:numId w:val="12"/>
              </w:numPr>
              <w:ind w:left="241" w:right="72" w:hanging="241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The prevalence rate</w:t>
            </w:r>
            <w:r w:rsidR="00FB21C8" w:rsidRPr="0062055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the Houston EMA in 2016 (446.0</w:t>
            </w:r>
            <w:r w:rsidR="00FB21C8" w:rsidRPr="00B40A51">
              <w:rPr>
                <w:rFonts w:cs="Arial"/>
                <w:sz w:val="22"/>
                <w:szCs w:val="22"/>
              </w:rPr>
              <w:t xml:space="preserve"> per 100,000 population) was higher than Texas (</w:t>
            </w:r>
            <w:r>
              <w:rPr>
                <w:rFonts w:cs="Arial"/>
                <w:sz w:val="22"/>
                <w:szCs w:val="22"/>
              </w:rPr>
              <w:t>311.1</w:t>
            </w:r>
            <w:r w:rsidR="00FB21C8" w:rsidRPr="00B40A51">
              <w:rPr>
                <w:rFonts w:cs="Arial"/>
                <w:sz w:val="22"/>
                <w:szCs w:val="22"/>
              </w:rPr>
              <w:t xml:space="preserve"> per 100,000 population). All sex at birth, race/ethnicity, and age range groups in the Houston EMA experience higher </w:t>
            </w:r>
            <w:r>
              <w:rPr>
                <w:rFonts w:cs="Arial"/>
                <w:sz w:val="22"/>
                <w:szCs w:val="22"/>
              </w:rPr>
              <w:t>HIV prevalence rates</w:t>
            </w:r>
            <w:r w:rsidR="00FB21C8" w:rsidRPr="00B40A51">
              <w:rPr>
                <w:rFonts w:cs="Arial"/>
                <w:sz w:val="22"/>
                <w:szCs w:val="22"/>
              </w:rPr>
              <w:t xml:space="preserve"> that corresponding groups for the state as a whole.</w:t>
            </w:r>
          </w:p>
          <w:p w:rsidR="00B40A51" w:rsidRPr="00620556" w:rsidRDefault="00B40A51" w:rsidP="006D6030">
            <w:pPr>
              <w:pStyle w:val="ListParagraph"/>
              <w:numPr>
                <w:ilvl w:val="0"/>
                <w:numId w:val="12"/>
              </w:numPr>
              <w:ind w:left="241" w:right="72" w:hanging="241"/>
              <w:rPr>
                <w:rFonts w:cs="Arial"/>
                <w:sz w:val="22"/>
                <w:szCs w:val="22"/>
                <w:u w:val="single"/>
              </w:rPr>
            </w:pPr>
            <w:r w:rsidRPr="00620556">
              <w:rPr>
                <w:rFonts w:cs="Arial"/>
                <w:sz w:val="22"/>
                <w:szCs w:val="22"/>
              </w:rPr>
              <w:t>The rate of new HIV diagnosis in the Houston EMA in 2016 (21.9 per 100,000 population) was higher than Texas (16.1 per 100,000 population). All sex at birth, race/ethnicity, and age range groups in the Houston EMA experience higher rates of new diagnoses that corresponding groups for the state as a whole.</w:t>
            </w:r>
          </w:p>
          <w:p w:rsidR="004A49EC" w:rsidRDefault="004A49EC" w:rsidP="00BC7602">
            <w:pPr>
              <w:ind w:right="72"/>
              <w:rPr>
                <w:rFonts w:cs="Arial"/>
                <w:sz w:val="22"/>
                <w:szCs w:val="22"/>
                <w:highlight w:val="yellow"/>
                <w:u w:val="single"/>
              </w:rPr>
            </w:pPr>
          </w:p>
          <w:p w:rsidR="004A49EC" w:rsidRPr="00520C8F" w:rsidRDefault="004A49EC" w:rsidP="00BC7602">
            <w:pPr>
              <w:ind w:right="72"/>
              <w:rPr>
                <w:rFonts w:cs="Arial"/>
                <w:sz w:val="22"/>
                <w:szCs w:val="22"/>
                <w:highlight w:val="yellow"/>
                <w:u w:val="single"/>
              </w:rPr>
            </w:pPr>
          </w:p>
          <w:p w:rsidR="002E1132" w:rsidRPr="003102F6" w:rsidRDefault="002E1132" w:rsidP="00BC7602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  <w:r w:rsidRPr="003102F6">
              <w:rPr>
                <w:rFonts w:cs="Arial"/>
                <w:sz w:val="14"/>
                <w:szCs w:val="14"/>
                <w:u w:val="single"/>
              </w:rPr>
              <w:t>Sources:</w:t>
            </w:r>
          </w:p>
          <w:p w:rsidR="00592975" w:rsidRPr="003102F6" w:rsidRDefault="00592975" w:rsidP="00592975">
            <w:pPr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102F6">
              <w:rPr>
                <w:rFonts w:cs="Arial"/>
                <w:sz w:val="14"/>
                <w:szCs w:val="14"/>
                <w:vertAlign w:val="superscript"/>
              </w:rPr>
              <w:t>a</w:t>
            </w:r>
            <w:r w:rsidRPr="003102F6">
              <w:rPr>
                <w:rFonts w:cs="Arial"/>
                <w:sz w:val="14"/>
                <w:szCs w:val="14"/>
              </w:rPr>
              <w:t>2018</w:t>
            </w:r>
            <w:proofErr w:type="spellEnd"/>
            <w:r w:rsidRPr="003102F6">
              <w:rPr>
                <w:rFonts w:cs="Arial"/>
                <w:sz w:val="14"/>
                <w:szCs w:val="14"/>
                <w:vertAlign w:val="superscript"/>
              </w:rPr>
              <w:t xml:space="preserve"> </w:t>
            </w:r>
            <w:r w:rsidRPr="003102F6">
              <w:rPr>
                <w:rFonts w:cs="Arial"/>
                <w:sz w:val="14"/>
                <w:szCs w:val="14"/>
              </w:rPr>
              <w:t xml:space="preserve">Epidemiological Profile – In Progress </w:t>
            </w:r>
          </w:p>
          <w:p w:rsidR="002E1132" w:rsidRPr="00520C8F" w:rsidRDefault="002E1132" w:rsidP="00726D04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6336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2E1132" w:rsidRPr="000733DE" w:rsidRDefault="002E1132" w:rsidP="00BC7602">
            <w:pPr>
              <w:rPr>
                <w:rFonts w:cs="Arial"/>
                <w:b/>
                <w:i/>
                <w:sz w:val="22"/>
                <w:szCs w:val="22"/>
              </w:rPr>
            </w:pPr>
            <w:r w:rsidRPr="000733DE">
              <w:rPr>
                <w:rFonts w:cs="Arial"/>
                <w:b/>
                <w:i/>
                <w:sz w:val="22"/>
                <w:szCs w:val="22"/>
              </w:rPr>
              <w:lastRenderedPageBreak/>
              <w:t xml:space="preserve">What is unmet need? </w:t>
            </w:r>
          </w:p>
          <w:p w:rsidR="002E1132" w:rsidRPr="000733DE" w:rsidRDefault="002E1132" w:rsidP="00BC7602">
            <w:pPr>
              <w:rPr>
                <w:rFonts w:cs="Arial"/>
                <w:b/>
                <w:i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Unmet need is when a person diagnosed with HIV is </w:t>
            </w:r>
            <w:r w:rsidR="009B336E" w:rsidRPr="000733DE">
              <w:rPr>
                <w:rFonts w:cs="Arial"/>
                <w:sz w:val="22"/>
                <w:szCs w:val="22"/>
              </w:rPr>
              <w:t>out of care</w:t>
            </w:r>
            <w:r w:rsidRPr="000733DE">
              <w:rPr>
                <w:rFonts w:cs="Arial"/>
                <w:sz w:val="22"/>
                <w:szCs w:val="22"/>
              </w:rPr>
              <w:t xml:space="preserve">.  According to HRSA, a person is considered </w:t>
            </w:r>
            <w:r w:rsidR="009B336E" w:rsidRPr="000733DE">
              <w:rPr>
                <w:rFonts w:cs="Arial"/>
                <w:sz w:val="22"/>
                <w:szCs w:val="22"/>
              </w:rPr>
              <w:t>out of care</w:t>
            </w:r>
            <w:r w:rsidRPr="000733DE">
              <w:rPr>
                <w:rFonts w:cs="Arial"/>
                <w:sz w:val="22"/>
                <w:szCs w:val="22"/>
              </w:rPr>
              <w:t xml:space="preserve"> if they have not had at least 1 of the following in 12 months: </w:t>
            </w:r>
            <w:r w:rsidRPr="000733DE">
              <w:rPr>
                <w:sz w:val="22"/>
                <w:szCs w:val="22"/>
              </w:rPr>
              <w:t xml:space="preserve">(1) an HIV medical care visit, (2) an HIV monitoring test (either a </w:t>
            </w:r>
            <w:proofErr w:type="spellStart"/>
            <w:r w:rsidRPr="000733DE">
              <w:rPr>
                <w:sz w:val="22"/>
                <w:szCs w:val="22"/>
              </w:rPr>
              <w:t>CD4</w:t>
            </w:r>
            <w:proofErr w:type="spellEnd"/>
            <w:r w:rsidRPr="000733DE">
              <w:rPr>
                <w:sz w:val="22"/>
                <w:szCs w:val="22"/>
              </w:rPr>
              <w:t xml:space="preserve"> or viral load), or (3) a prescription for HIV medication. </w:t>
            </w:r>
          </w:p>
          <w:p w:rsidR="002E1132" w:rsidRPr="00092441" w:rsidRDefault="002E1132" w:rsidP="00BC7602">
            <w:pPr>
              <w:rPr>
                <w:rFonts w:cs="Arial"/>
                <w:sz w:val="8"/>
                <w:szCs w:val="8"/>
              </w:rPr>
            </w:pPr>
          </w:p>
          <w:p w:rsidR="002E1132" w:rsidRPr="000733DE" w:rsidRDefault="002E1132" w:rsidP="00BC760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0733DE">
              <w:rPr>
                <w:rFonts w:cs="Arial"/>
                <w:b/>
                <w:i/>
                <w:sz w:val="22"/>
                <w:szCs w:val="22"/>
              </w:rPr>
              <w:t xml:space="preserve">How many people are </w:t>
            </w:r>
            <w:r w:rsidR="009B336E" w:rsidRPr="000733DE">
              <w:rPr>
                <w:rFonts w:cs="Arial"/>
                <w:b/>
                <w:i/>
                <w:sz w:val="22"/>
                <w:szCs w:val="22"/>
              </w:rPr>
              <w:t>out of care</w:t>
            </w:r>
            <w:r w:rsidRPr="000733DE">
              <w:rPr>
                <w:rFonts w:cs="Arial"/>
                <w:b/>
                <w:i/>
                <w:sz w:val="22"/>
                <w:szCs w:val="22"/>
              </w:rPr>
              <w:t xml:space="preserve"> in the Houston </w:t>
            </w:r>
            <w:proofErr w:type="spellStart"/>
            <w:r w:rsidRPr="000733DE">
              <w:rPr>
                <w:rFonts w:cs="Arial"/>
                <w:b/>
                <w:i/>
                <w:sz w:val="22"/>
                <w:szCs w:val="22"/>
              </w:rPr>
              <w:t>EMA?</w:t>
            </w:r>
            <w:r w:rsidRPr="000733DE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2E1132" w:rsidRPr="000733DE" w:rsidRDefault="002E1132" w:rsidP="00A05F3C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right="72"/>
              <w:rPr>
                <w:rFonts w:cs="Arial"/>
                <w:i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In 201</w:t>
            </w:r>
            <w:r w:rsidR="00767EF4" w:rsidRPr="000733DE">
              <w:rPr>
                <w:rFonts w:cs="Arial"/>
                <w:sz w:val="22"/>
                <w:szCs w:val="22"/>
              </w:rPr>
              <w:t>6</w:t>
            </w:r>
            <w:r w:rsidRPr="000733DE">
              <w:rPr>
                <w:rFonts w:cs="Arial"/>
                <w:sz w:val="22"/>
                <w:szCs w:val="22"/>
              </w:rPr>
              <w:t xml:space="preserve">, there were </w:t>
            </w:r>
            <w:r w:rsidR="00767EF4" w:rsidRPr="000733DE">
              <w:rPr>
                <w:rFonts w:cs="Arial"/>
                <w:color w:val="000000"/>
                <w:sz w:val="22"/>
                <w:szCs w:val="22"/>
              </w:rPr>
              <w:t>6,537</w:t>
            </w:r>
            <w:r w:rsidR="00A05F3C" w:rsidRPr="000733D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9B336E" w:rsidRPr="000733DE">
              <w:rPr>
                <w:rFonts w:cs="Arial"/>
                <w:color w:val="000000"/>
                <w:sz w:val="22"/>
                <w:szCs w:val="22"/>
              </w:rPr>
              <w:t>PLWH</w:t>
            </w:r>
            <w:r w:rsidRPr="000733D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9B336E" w:rsidRPr="000733DE">
              <w:rPr>
                <w:rFonts w:cs="Arial"/>
                <w:color w:val="000000"/>
                <w:sz w:val="22"/>
                <w:szCs w:val="22"/>
              </w:rPr>
              <w:t>out of care</w:t>
            </w:r>
            <w:r w:rsidRPr="000733DE">
              <w:rPr>
                <w:rFonts w:cs="Arial"/>
                <w:color w:val="000000"/>
                <w:sz w:val="22"/>
                <w:szCs w:val="22"/>
              </w:rPr>
              <w:t xml:space="preserve"> in the </w:t>
            </w:r>
            <w:r w:rsidR="00E17BAA" w:rsidRPr="000733DE">
              <w:rPr>
                <w:rFonts w:cs="Arial"/>
                <w:sz w:val="22"/>
                <w:szCs w:val="22"/>
              </w:rPr>
              <w:t>EMA, or 24</w:t>
            </w:r>
            <w:r w:rsidRPr="000733DE">
              <w:rPr>
                <w:rFonts w:cs="Arial"/>
                <w:sz w:val="22"/>
                <w:szCs w:val="22"/>
              </w:rPr>
              <w:t xml:space="preserve">% of all diagnosed </w:t>
            </w:r>
            <w:r w:rsidR="00E17BAA" w:rsidRPr="000733DE">
              <w:rPr>
                <w:rFonts w:cs="Arial"/>
                <w:sz w:val="22"/>
                <w:szCs w:val="22"/>
              </w:rPr>
              <w:t>PLWH</w:t>
            </w:r>
            <w:r w:rsidRPr="000733DE">
              <w:rPr>
                <w:rFonts w:cs="Arial"/>
                <w:sz w:val="22"/>
                <w:szCs w:val="22"/>
              </w:rPr>
              <w:t xml:space="preserve">. </w:t>
            </w:r>
          </w:p>
          <w:p w:rsidR="002E1132" w:rsidRPr="00092441" w:rsidRDefault="002E1132" w:rsidP="00BC7602">
            <w:pPr>
              <w:rPr>
                <w:rFonts w:cs="Arial"/>
                <w:b/>
                <w:i/>
                <w:sz w:val="8"/>
                <w:szCs w:val="8"/>
              </w:rPr>
            </w:pPr>
          </w:p>
          <w:p w:rsidR="002E1132" w:rsidRPr="000733DE" w:rsidRDefault="00CE63F1" w:rsidP="00BC7602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What trends can be seen among those</w:t>
            </w:r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="009B336E" w:rsidRPr="000733DE">
              <w:rPr>
                <w:rFonts w:cs="Arial"/>
                <w:b/>
                <w:i/>
                <w:sz w:val="22"/>
                <w:szCs w:val="22"/>
              </w:rPr>
              <w:t>out of care</w:t>
            </w:r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 xml:space="preserve"> in the Houston EMA?</w:t>
            </w:r>
            <w:r w:rsidR="002E1132" w:rsidRPr="000733DE">
              <w:rPr>
                <w:rFonts w:cs="Arial"/>
                <w:sz w:val="22"/>
                <w:szCs w:val="22"/>
                <w:vertAlign w:val="superscript"/>
              </w:rPr>
              <w:t xml:space="preserve"> a</w:t>
            </w:r>
          </w:p>
          <w:p w:rsidR="002E1132" w:rsidRPr="000733DE" w:rsidRDefault="00CE63F1" w:rsidP="00BC7602">
            <w:pPr>
              <w:ind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highest proportions of people </w:t>
            </w:r>
            <w:r w:rsidR="009B336E" w:rsidRPr="000733DE">
              <w:rPr>
                <w:rFonts w:cs="Arial"/>
                <w:sz w:val="22"/>
                <w:szCs w:val="22"/>
              </w:rPr>
              <w:t>out of care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in 201</w:t>
            </w:r>
            <w:r w:rsidR="00767EF4" w:rsidRPr="000733DE">
              <w:rPr>
                <w:rFonts w:cs="Arial"/>
                <w:sz w:val="22"/>
                <w:szCs w:val="22"/>
              </w:rPr>
              <w:t>6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were:</w:t>
            </w:r>
            <w:r w:rsidR="002E1132" w:rsidRPr="000733D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</w:p>
          <w:p w:rsidR="00D44D72" w:rsidRPr="00092441" w:rsidRDefault="00767EF4" w:rsidP="00092441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25% of male (sex at birth) diagnosed PLWH</w:t>
            </w:r>
            <w:r w:rsidR="00092441">
              <w:rPr>
                <w:rFonts w:cs="Arial"/>
                <w:sz w:val="22"/>
                <w:szCs w:val="22"/>
              </w:rPr>
              <w:t xml:space="preserve"> – ↓</w:t>
            </w:r>
            <w:r w:rsidR="00CB1911">
              <w:rPr>
                <w:rFonts w:cs="Arial"/>
                <w:sz w:val="22"/>
                <w:szCs w:val="22"/>
              </w:rPr>
              <w:t xml:space="preserve"> </w:t>
            </w:r>
            <w:r w:rsidR="00092441" w:rsidRPr="00092441">
              <w:rPr>
                <w:rFonts w:cs="Arial"/>
                <w:sz w:val="22"/>
                <w:szCs w:val="22"/>
              </w:rPr>
              <w:t>from 37</w:t>
            </w:r>
            <w:r w:rsidR="00D44D72" w:rsidRPr="00092441">
              <w:rPr>
                <w:rFonts w:cs="Arial"/>
                <w:sz w:val="22"/>
                <w:szCs w:val="22"/>
              </w:rPr>
              <w:t>% in 2009</w:t>
            </w:r>
          </w:p>
          <w:p w:rsidR="00D44D72" w:rsidRPr="00092441" w:rsidRDefault="002252AE" w:rsidP="00092441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28% of other race/ethnicity diagnosed PLWH</w:t>
            </w:r>
            <w:r w:rsidR="00092441">
              <w:rPr>
                <w:rFonts w:cs="Arial"/>
                <w:sz w:val="22"/>
                <w:szCs w:val="22"/>
              </w:rPr>
              <w:t xml:space="preserve"> – </w:t>
            </w:r>
            <w:r w:rsidR="00CB1911">
              <w:rPr>
                <w:rFonts w:cs="Arial"/>
                <w:sz w:val="22"/>
                <w:szCs w:val="22"/>
              </w:rPr>
              <w:t xml:space="preserve">↓ </w:t>
            </w:r>
            <w:r w:rsidR="00D44D72" w:rsidRPr="00092441">
              <w:rPr>
                <w:rFonts w:cs="Arial"/>
                <w:sz w:val="22"/>
                <w:szCs w:val="22"/>
              </w:rPr>
              <w:t>from 41% in 2009</w:t>
            </w:r>
          </w:p>
          <w:p w:rsidR="00D44D72" w:rsidRPr="00CB1911" w:rsidRDefault="00767EF4" w:rsidP="00CB1911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26% of </w:t>
            </w:r>
            <w:r w:rsidR="00A05F3C" w:rsidRPr="000733DE">
              <w:rPr>
                <w:rFonts w:cs="Arial"/>
                <w:sz w:val="22"/>
                <w:szCs w:val="22"/>
              </w:rPr>
              <w:t>Hispanic</w:t>
            </w:r>
            <w:r w:rsidRPr="000733DE">
              <w:rPr>
                <w:rFonts w:cs="Arial"/>
                <w:sz w:val="22"/>
                <w:szCs w:val="22"/>
              </w:rPr>
              <w:t xml:space="preserve"> </w:t>
            </w:r>
            <w:r w:rsidR="002252AE" w:rsidRPr="000733DE">
              <w:rPr>
                <w:rFonts w:cs="Arial"/>
                <w:sz w:val="22"/>
                <w:szCs w:val="22"/>
              </w:rPr>
              <w:t>diagnosed PLWH</w:t>
            </w:r>
            <w:r w:rsidR="00CB1911">
              <w:rPr>
                <w:rFonts w:cs="Arial"/>
                <w:sz w:val="22"/>
                <w:szCs w:val="22"/>
              </w:rPr>
              <w:t xml:space="preserve"> – ↓ </w:t>
            </w:r>
            <w:r w:rsidR="00092441" w:rsidRPr="00CB1911">
              <w:rPr>
                <w:rFonts w:cs="Arial"/>
                <w:sz w:val="22"/>
                <w:szCs w:val="22"/>
              </w:rPr>
              <w:t>from 36% in 2009</w:t>
            </w:r>
          </w:p>
          <w:p w:rsidR="00D44D72" w:rsidRPr="00CB1911" w:rsidRDefault="002252AE" w:rsidP="00CB1911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25% of Black/</w:t>
            </w:r>
            <w:r w:rsidR="003B54C3" w:rsidRPr="000733DE">
              <w:rPr>
                <w:rFonts w:cs="Arial"/>
                <w:sz w:val="22"/>
                <w:szCs w:val="22"/>
              </w:rPr>
              <w:t>African American</w:t>
            </w:r>
            <w:r w:rsidRPr="000733DE">
              <w:rPr>
                <w:rFonts w:cs="Arial"/>
                <w:sz w:val="22"/>
                <w:szCs w:val="22"/>
              </w:rPr>
              <w:t xml:space="preserve"> diagnosed PLWH</w:t>
            </w:r>
            <w:r w:rsidR="00CB1911">
              <w:rPr>
                <w:rFonts w:cs="Arial"/>
                <w:sz w:val="22"/>
                <w:szCs w:val="22"/>
              </w:rPr>
              <w:t xml:space="preserve"> – ↓ </w:t>
            </w:r>
            <w:r w:rsidR="00092441" w:rsidRPr="00CB1911">
              <w:rPr>
                <w:rFonts w:cs="Arial"/>
                <w:sz w:val="22"/>
                <w:szCs w:val="22"/>
              </w:rPr>
              <w:t>from 37% in 2009</w:t>
            </w:r>
          </w:p>
          <w:p w:rsidR="00D44D72" w:rsidRDefault="00B108BB" w:rsidP="00CB1911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26% of diagnosed PLWH age</w:t>
            </w:r>
            <w:r w:rsidR="00A05F3C" w:rsidRPr="000733DE">
              <w:rPr>
                <w:rFonts w:cs="Arial"/>
                <w:sz w:val="22"/>
                <w:szCs w:val="22"/>
              </w:rPr>
              <w:t xml:space="preserve"> </w:t>
            </w:r>
            <w:r w:rsidRPr="000733DE">
              <w:rPr>
                <w:rFonts w:cs="Arial"/>
                <w:sz w:val="22"/>
                <w:szCs w:val="22"/>
              </w:rPr>
              <w:t>35-44</w:t>
            </w:r>
            <w:r w:rsidR="00CB1911">
              <w:rPr>
                <w:rFonts w:cs="Arial"/>
                <w:sz w:val="22"/>
                <w:szCs w:val="22"/>
              </w:rPr>
              <w:t xml:space="preserve"> – ↓</w:t>
            </w:r>
            <w:r w:rsidR="00092441" w:rsidRPr="00CB1911">
              <w:rPr>
                <w:rFonts w:cs="Arial"/>
                <w:sz w:val="22"/>
                <w:szCs w:val="22"/>
              </w:rPr>
              <w:t xml:space="preserve"> from 36% in 2009; </w:t>
            </w:r>
            <w:r w:rsidRPr="00CB1911">
              <w:rPr>
                <w:rFonts w:cs="Arial"/>
                <w:sz w:val="22"/>
                <w:szCs w:val="22"/>
              </w:rPr>
              <w:t>26% of diagnosed PLWH age 55 and over</w:t>
            </w:r>
            <w:r w:rsidR="00CB1911" w:rsidRPr="00CB1911">
              <w:rPr>
                <w:rFonts w:cs="Arial"/>
                <w:sz w:val="22"/>
                <w:szCs w:val="22"/>
              </w:rPr>
              <w:t xml:space="preserve"> – ↓ 37% in 2009</w:t>
            </w:r>
          </w:p>
          <w:p w:rsidR="00CB1911" w:rsidRPr="00CB1911" w:rsidRDefault="00CB1911" w:rsidP="00CB1911">
            <w:pPr>
              <w:pStyle w:val="BodyTextIndent2"/>
              <w:numPr>
                <w:ilvl w:val="1"/>
                <w:numId w:val="1"/>
              </w:numPr>
              <w:spacing w:after="0" w:line="240" w:lineRule="auto"/>
              <w:ind w:left="616"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Pr="00CB1911">
              <w:rPr>
                <w:rFonts w:cs="Arial"/>
                <w:sz w:val="22"/>
                <w:szCs w:val="22"/>
              </w:rPr>
              <w:t xml:space="preserve"> age range with highest unmet need in 2009 was age 25-34 at 39%</w:t>
            </w:r>
          </w:p>
          <w:p w:rsidR="00C078B2" w:rsidRDefault="00B108BB" w:rsidP="00F327A8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C078B2">
              <w:rPr>
                <w:rFonts w:cs="Arial"/>
                <w:sz w:val="22"/>
                <w:szCs w:val="22"/>
              </w:rPr>
              <w:t>28% of diagnosed PLWH with an injection drug use risk factor</w:t>
            </w:r>
            <w:r w:rsidR="00C078B2" w:rsidRPr="00C078B2">
              <w:rPr>
                <w:rFonts w:cs="Arial"/>
                <w:sz w:val="22"/>
                <w:szCs w:val="22"/>
              </w:rPr>
              <w:t xml:space="preserve"> – ↓ 39% in 2009</w:t>
            </w:r>
          </w:p>
          <w:p w:rsidR="00B108BB" w:rsidRDefault="00872A91" w:rsidP="00F327A8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ind w:left="299" w:right="72" w:hanging="299"/>
              <w:rPr>
                <w:rFonts w:cs="Arial"/>
                <w:sz w:val="22"/>
                <w:szCs w:val="22"/>
              </w:rPr>
            </w:pPr>
            <w:r w:rsidRPr="00C078B2">
              <w:rPr>
                <w:rFonts w:cs="Arial"/>
                <w:sz w:val="22"/>
                <w:szCs w:val="22"/>
              </w:rPr>
              <w:t>27% of people diagnosed with HIV between 2006 and 2010</w:t>
            </w:r>
          </w:p>
          <w:p w:rsidR="00E9779B" w:rsidRPr="00C078B2" w:rsidRDefault="00E9779B" w:rsidP="00E9779B">
            <w:pPr>
              <w:pStyle w:val="BodyTextIndent2"/>
              <w:numPr>
                <w:ilvl w:val="1"/>
                <w:numId w:val="1"/>
              </w:numPr>
              <w:spacing w:after="0" w:line="240" w:lineRule="auto"/>
              <w:ind w:left="616" w:right="7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2009, 38% of out of care PLWH were diagnosed between 2004 and 2006</w:t>
            </w:r>
          </w:p>
          <w:p w:rsidR="00E17BAA" w:rsidRPr="000733DE" w:rsidRDefault="00E17BAA" w:rsidP="00BC7602">
            <w:pPr>
              <w:widowControl w:val="0"/>
              <w:rPr>
                <w:sz w:val="16"/>
                <w:szCs w:val="16"/>
              </w:rPr>
            </w:pPr>
          </w:p>
          <w:p w:rsidR="00E17BAA" w:rsidRDefault="00A631D9" w:rsidP="00D44D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7BAA" w:rsidRPr="000733DE">
              <w:rPr>
                <w:sz w:val="22"/>
                <w:szCs w:val="22"/>
              </w:rPr>
              <w:t>9</w:t>
            </w:r>
            <w:r w:rsidR="00D1113B" w:rsidRPr="000733DE">
              <w:rPr>
                <w:sz w:val="22"/>
                <w:szCs w:val="22"/>
              </w:rPr>
              <w:t xml:space="preserve">% of all </w:t>
            </w:r>
            <w:r w:rsidR="009B336E" w:rsidRPr="000733DE">
              <w:rPr>
                <w:sz w:val="22"/>
                <w:szCs w:val="22"/>
              </w:rPr>
              <w:t>PLWH</w:t>
            </w:r>
            <w:r w:rsidR="00D1113B" w:rsidRPr="000733DE">
              <w:rPr>
                <w:sz w:val="22"/>
                <w:szCs w:val="22"/>
              </w:rPr>
              <w:t xml:space="preserve"> in t</w:t>
            </w:r>
            <w:r w:rsidR="00E17BAA" w:rsidRPr="000733DE">
              <w:rPr>
                <w:sz w:val="22"/>
                <w:szCs w:val="22"/>
              </w:rPr>
              <w:t>he 2016</w:t>
            </w:r>
            <w:r w:rsidR="002E1132" w:rsidRPr="000733DE">
              <w:rPr>
                <w:sz w:val="22"/>
                <w:szCs w:val="22"/>
              </w:rPr>
              <w:t xml:space="preserve"> Needs </w:t>
            </w:r>
            <w:proofErr w:type="spellStart"/>
            <w:r w:rsidR="002E1132" w:rsidRPr="000733DE">
              <w:rPr>
                <w:sz w:val="22"/>
                <w:szCs w:val="22"/>
              </w:rPr>
              <w:t>Assessment</w:t>
            </w:r>
            <w:r w:rsidR="002E1132" w:rsidRPr="000733DE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="002E1132" w:rsidRPr="000733DE">
              <w:rPr>
                <w:sz w:val="22"/>
                <w:szCs w:val="22"/>
              </w:rPr>
              <w:t xml:space="preserve"> reported stopping HIV medical care for 1</w:t>
            </w:r>
            <w:r w:rsidR="00D1113B" w:rsidRPr="000733DE">
              <w:rPr>
                <w:sz w:val="22"/>
                <w:szCs w:val="22"/>
              </w:rPr>
              <w:t>2 months</w:t>
            </w:r>
            <w:r w:rsidR="002E1132" w:rsidRPr="000733DE">
              <w:rPr>
                <w:sz w:val="22"/>
                <w:szCs w:val="22"/>
              </w:rPr>
              <w:t xml:space="preserve"> year or more at some point since their initial </w:t>
            </w:r>
            <w:r w:rsidR="00FE7A5D" w:rsidRPr="000733DE">
              <w:rPr>
                <w:sz w:val="22"/>
                <w:szCs w:val="22"/>
              </w:rPr>
              <w:t>diagnosis. The</w:t>
            </w:r>
            <w:r w:rsidR="002E1132" w:rsidRPr="000733DE">
              <w:rPr>
                <w:sz w:val="22"/>
                <w:szCs w:val="22"/>
              </w:rPr>
              <w:t xml:space="preserve"> most common reasons for falling </w:t>
            </w:r>
            <w:r w:rsidR="009B336E" w:rsidRPr="000733DE">
              <w:rPr>
                <w:sz w:val="22"/>
                <w:szCs w:val="22"/>
              </w:rPr>
              <w:t>out of care</w:t>
            </w:r>
            <w:r w:rsidR="002E1132" w:rsidRPr="000733DE">
              <w:rPr>
                <w:sz w:val="22"/>
                <w:szCs w:val="22"/>
              </w:rPr>
              <w:t xml:space="preserve"> were: </w:t>
            </w:r>
            <w:r w:rsidR="00FE7A5D" w:rsidRPr="000733DE">
              <w:rPr>
                <w:sz w:val="22"/>
                <w:szCs w:val="22"/>
              </w:rPr>
              <w:t>substance abuse concerns, wanting a break from treatment, reluctance to take HIV medication, not feeling sick, and mental health concerns.</w:t>
            </w:r>
          </w:p>
          <w:p w:rsidR="00D44D72" w:rsidRDefault="00D44D72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</w:p>
          <w:p w:rsidR="00C078B2" w:rsidRDefault="00C078B2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</w:p>
          <w:p w:rsidR="00C078B2" w:rsidRDefault="00C078B2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</w:p>
          <w:p w:rsidR="00C078B2" w:rsidRDefault="00C078B2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</w:p>
          <w:p w:rsidR="00C078B2" w:rsidRDefault="00C078B2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</w:p>
          <w:p w:rsidR="00E17BAA" w:rsidRPr="000733DE" w:rsidRDefault="00E17BAA" w:rsidP="00E17BAA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  <w:r w:rsidRPr="000733DE">
              <w:rPr>
                <w:rFonts w:cs="Arial"/>
                <w:sz w:val="14"/>
                <w:szCs w:val="14"/>
                <w:u w:val="single"/>
              </w:rPr>
              <w:t>Sources:</w:t>
            </w:r>
          </w:p>
          <w:p w:rsidR="00592975" w:rsidRPr="000733DE" w:rsidRDefault="00592975" w:rsidP="00592975">
            <w:pPr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0733DE">
              <w:rPr>
                <w:rFonts w:cs="Arial"/>
                <w:sz w:val="14"/>
                <w:szCs w:val="14"/>
                <w:vertAlign w:val="superscript"/>
              </w:rPr>
              <w:t>a</w:t>
            </w:r>
            <w:r w:rsidRPr="000733DE">
              <w:rPr>
                <w:rFonts w:cs="Arial"/>
                <w:sz w:val="14"/>
                <w:szCs w:val="14"/>
              </w:rPr>
              <w:t>2018</w:t>
            </w:r>
            <w:proofErr w:type="spellEnd"/>
            <w:r w:rsidRPr="000733DE">
              <w:rPr>
                <w:rFonts w:cs="Arial"/>
                <w:sz w:val="14"/>
                <w:szCs w:val="14"/>
                <w:vertAlign w:val="superscript"/>
              </w:rPr>
              <w:t xml:space="preserve"> </w:t>
            </w:r>
            <w:r w:rsidRPr="000733DE">
              <w:rPr>
                <w:rFonts w:cs="Arial"/>
                <w:sz w:val="14"/>
                <w:szCs w:val="14"/>
              </w:rPr>
              <w:t xml:space="preserve">Epidemiological Profile – In Progress </w:t>
            </w:r>
          </w:p>
          <w:p w:rsidR="00E17BAA" w:rsidRDefault="00E17BAA" w:rsidP="00E17BAA">
            <w:pPr>
              <w:rPr>
                <w:rFonts w:cs="Arial"/>
                <w:sz w:val="22"/>
                <w:szCs w:val="22"/>
              </w:rPr>
            </w:pPr>
            <w:proofErr w:type="spellStart"/>
            <w:r w:rsidRPr="000733DE">
              <w:rPr>
                <w:rFonts w:cs="Arial"/>
                <w:sz w:val="14"/>
                <w:szCs w:val="14"/>
                <w:vertAlign w:val="superscript"/>
              </w:rPr>
              <w:t>b</w:t>
            </w:r>
            <w:r w:rsidRPr="000733DE">
              <w:rPr>
                <w:rFonts w:cs="Arial"/>
                <w:sz w:val="14"/>
                <w:szCs w:val="18"/>
              </w:rPr>
              <w:t>2016</w:t>
            </w:r>
            <w:proofErr w:type="spellEnd"/>
            <w:r w:rsidRPr="000733DE">
              <w:rPr>
                <w:rFonts w:cs="Arial"/>
                <w:sz w:val="14"/>
                <w:szCs w:val="18"/>
              </w:rPr>
              <w:t xml:space="preserve"> Houston Area HIV Needs Assessment</w:t>
            </w:r>
            <w:r w:rsidRPr="000733DE">
              <w:rPr>
                <w:rFonts w:cs="Arial"/>
                <w:sz w:val="22"/>
                <w:szCs w:val="22"/>
              </w:rPr>
              <w:t xml:space="preserve"> </w:t>
            </w:r>
          </w:p>
          <w:p w:rsidR="00E17BAA" w:rsidRPr="000733DE" w:rsidRDefault="00E17BAA" w:rsidP="00E17BAA">
            <w:pPr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0733DE">
              <w:rPr>
                <w:rFonts w:cs="Arial"/>
                <w:i/>
                <w:sz w:val="22"/>
                <w:szCs w:val="22"/>
              </w:rPr>
              <w:lastRenderedPageBreak/>
              <w:t>Con’t</w:t>
            </w:r>
            <w:proofErr w:type="spellEnd"/>
            <w:r w:rsidRPr="000733DE">
              <w:rPr>
                <w:rFonts w:cs="Arial"/>
                <w:i/>
                <w:sz w:val="22"/>
                <w:szCs w:val="22"/>
              </w:rPr>
              <w:t xml:space="preserve"> from Page 1</w:t>
            </w:r>
          </w:p>
          <w:p w:rsidR="002E1132" w:rsidRPr="000733DE" w:rsidRDefault="002E1132" w:rsidP="00BC7602">
            <w:pPr>
              <w:widowControl w:val="0"/>
              <w:rPr>
                <w:sz w:val="16"/>
                <w:szCs w:val="16"/>
              </w:rPr>
            </w:pPr>
          </w:p>
          <w:p w:rsidR="002E1132" w:rsidRPr="000733DE" w:rsidRDefault="00872A91" w:rsidP="00BC760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0733DE">
              <w:rPr>
                <w:rFonts w:cs="Arial"/>
                <w:b/>
                <w:i/>
                <w:sz w:val="22"/>
                <w:szCs w:val="22"/>
              </w:rPr>
              <w:t xml:space="preserve">What proportion of </w:t>
            </w:r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 xml:space="preserve">newly diagnosed </w:t>
            </w:r>
            <w:r w:rsidRPr="000733DE">
              <w:rPr>
                <w:rFonts w:cs="Arial"/>
                <w:b/>
                <w:i/>
                <w:sz w:val="22"/>
                <w:szCs w:val="22"/>
              </w:rPr>
              <w:t xml:space="preserve">PLWH </w:t>
            </w:r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 xml:space="preserve">are </w:t>
            </w:r>
            <w:r w:rsidRPr="000733DE">
              <w:rPr>
                <w:rFonts w:cs="Arial"/>
                <w:b/>
                <w:i/>
                <w:sz w:val="22"/>
                <w:szCs w:val="22"/>
              </w:rPr>
              <w:t>linked to care</w:t>
            </w:r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 xml:space="preserve"> in the </w:t>
            </w:r>
            <w:proofErr w:type="spellStart"/>
            <w:r w:rsidR="002E1132" w:rsidRPr="000733DE">
              <w:rPr>
                <w:rFonts w:cs="Arial"/>
                <w:b/>
                <w:i/>
                <w:sz w:val="22"/>
                <w:szCs w:val="22"/>
              </w:rPr>
              <w:t>EMA?</w:t>
            </w:r>
            <w:r w:rsidR="002E1132" w:rsidRPr="000733DE">
              <w:rPr>
                <w:rFonts w:cs="Arial"/>
                <w:sz w:val="22"/>
                <w:szCs w:val="22"/>
                <w:vertAlign w:val="superscript"/>
              </w:rPr>
              <w:t>a</w:t>
            </w:r>
            <w:proofErr w:type="spellEnd"/>
            <w:r w:rsidR="002E1132" w:rsidRPr="000733D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</w:p>
          <w:p w:rsidR="002E1132" w:rsidRPr="000733DE" w:rsidRDefault="00A37680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i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65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% </w:t>
            </w:r>
            <w:r w:rsidR="00DA1D34" w:rsidRPr="000733DE">
              <w:rPr>
                <w:rFonts w:cs="Arial"/>
                <w:sz w:val="22"/>
                <w:szCs w:val="22"/>
              </w:rPr>
              <w:t>of those newly diagnosed in 201</w:t>
            </w:r>
            <w:r w:rsidR="00872A91" w:rsidRPr="000733DE">
              <w:rPr>
                <w:rFonts w:cs="Arial"/>
                <w:sz w:val="22"/>
                <w:szCs w:val="22"/>
              </w:rPr>
              <w:t>6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in the</w:t>
            </w:r>
            <w:r w:rsidR="00872A91" w:rsidRPr="000733DE">
              <w:rPr>
                <w:rFonts w:cs="Arial"/>
                <w:sz w:val="22"/>
                <w:szCs w:val="22"/>
              </w:rPr>
              <w:t xml:space="preserve"> Houston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EMA were linked to HIV medical care with</w:t>
            </w:r>
            <w:r w:rsidR="00DA1D34" w:rsidRPr="000733DE">
              <w:rPr>
                <w:rFonts w:cs="Arial"/>
                <w:sz w:val="22"/>
                <w:szCs w:val="22"/>
              </w:rPr>
              <w:t>in</w:t>
            </w:r>
            <w:r w:rsidRPr="000733DE">
              <w:rPr>
                <w:rFonts w:cs="Arial"/>
                <w:sz w:val="22"/>
                <w:szCs w:val="22"/>
              </w:rPr>
              <w:t xml:space="preserve"> 1 month</w:t>
            </w:r>
            <w:r w:rsidR="00DA1D34" w:rsidRPr="000733DE">
              <w:rPr>
                <w:rFonts w:cs="Arial"/>
                <w:sz w:val="22"/>
                <w:szCs w:val="22"/>
              </w:rPr>
              <w:t xml:space="preserve"> of their diagnosis.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</w:t>
            </w:r>
            <w:r w:rsidRPr="000733DE">
              <w:rPr>
                <w:rFonts w:cs="Arial"/>
                <w:sz w:val="22"/>
                <w:szCs w:val="22"/>
              </w:rPr>
              <w:t>An additional 17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% were linked </w:t>
            </w:r>
            <w:r w:rsidR="00D1113B" w:rsidRPr="000733DE">
              <w:rPr>
                <w:rFonts w:cs="Arial"/>
                <w:sz w:val="22"/>
                <w:szCs w:val="22"/>
              </w:rPr>
              <w:t xml:space="preserve">to care within </w:t>
            </w:r>
            <w:r w:rsidRPr="000733DE">
              <w:rPr>
                <w:rFonts w:cs="Arial"/>
                <w:sz w:val="22"/>
                <w:szCs w:val="22"/>
              </w:rPr>
              <w:t xml:space="preserve">2-3 </w:t>
            </w:r>
            <w:r w:rsidR="00D1113B" w:rsidRPr="000733DE">
              <w:rPr>
                <w:rFonts w:cs="Arial"/>
                <w:sz w:val="22"/>
                <w:szCs w:val="22"/>
              </w:rPr>
              <w:t>months of their diagnosis</w:t>
            </w:r>
            <w:r w:rsidRPr="000733DE">
              <w:rPr>
                <w:rFonts w:cs="Arial"/>
                <w:sz w:val="22"/>
                <w:szCs w:val="22"/>
              </w:rPr>
              <w:t>, 8% were linked to care within 4-12 months of their diagnosis</w:t>
            </w:r>
            <w:r w:rsidR="00CE63F1">
              <w:rPr>
                <w:rFonts w:cs="Arial"/>
                <w:sz w:val="22"/>
                <w:szCs w:val="22"/>
              </w:rPr>
              <w:t xml:space="preserve">, and 5% were linked to care </w:t>
            </w:r>
            <w:r w:rsidR="00D3396F">
              <w:rPr>
                <w:rFonts w:cs="Arial"/>
                <w:sz w:val="22"/>
                <w:szCs w:val="22"/>
              </w:rPr>
              <w:t xml:space="preserve">over </w:t>
            </w:r>
            <w:r w:rsidR="00CE63F1">
              <w:rPr>
                <w:rFonts w:cs="Arial"/>
                <w:sz w:val="22"/>
                <w:szCs w:val="22"/>
              </w:rPr>
              <w:t>12 months after they</w:t>
            </w:r>
            <w:r w:rsidR="00D3396F">
              <w:rPr>
                <w:rFonts w:cs="Arial"/>
                <w:sz w:val="22"/>
                <w:szCs w:val="22"/>
              </w:rPr>
              <w:t xml:space="preserve"> diagnosed. </w:t>
            </w:r>
          </w:p>
          <w:p w:rsidR="008912BB" w:rsidRPr="000733DE" w:rsidRDefault="00A37680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10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% </w:t>
            </w:r>
            <w:r w:rsidRPr="000733DE">
              <w:rPr>
                <w:rFonts w:cs="Arial"/>
                <w:sz w:val="22"/>
                <w:szCs w:val="22"/>
              </w:rPr>
              <w:t>of those newly diagnosed in 2016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in the EMA </w:t>
            </w:r>
            <w:r w:rsidRPr="000733DE">
              <w:rPr>
                <w:rFonts w:cs="Arial"/>
                <w:i/>
                <w:sz w:val="22"/>
                <w:szCs w:val="22"/>
                <w:u w:val="single"/>
              </w:rPr>
              <w:t>were not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</w:t>
            </w:r>
            <w:r w:rsidRPr="000733DE">
              <w:rPr>
                <w:rFonts w:cs="Arial"/>
                <w:sz w:val="22"/>
                <w:szCs w:val="22"/>
              </w:rPr>
              <w:t>linked</w:t>
            </w:r>
            <w:r w:rsidR="002E1132" w:rsidRPr="000733DE">
              <w:rPr>
                <w:rFonts w:cs="Arial"/>
                <w:sz w:val="22"/>
                <w:szCs w:val="22"/>
              </w:rPr>
              <w:t xml:space="preserve"> by the end of that year.  </w:t>
            </w:r>
            <w:r w:rsidR="00D3396F">
              <w:rPr>
                <w:rFonts w:cs="Arial"/>
                <w:sz w:val="22"/>
                <w:szCs w:val="22"/>
              </w:rPr>
              <w:t>This accounts for 135</w:t>
            </w:r>
            <w:r w:rsidR="00D5586F" w:rsidRPr="000733DE">
              <w:rPr>
                <w:rFonts w:cs="Arial"/>
                <w:sz w:val="22"/>
                <w:szCs w:val="22"/>
              </w:rPr>
              <w:t xml:space="preserve"> newly diagnosed individuals.</w:t>
            </w:r>
            <w:r w:rsidR="008912BB" w:rsidRPr="000733DE">
              <w:rPr>
                <w:rFonts w:cs="Arial"/>
                <w:sz w:val="22"/>
                <w:szCs w:val="22"/>
              </w:rPr>
              <w:t xml:space="preserve"> Most of these individuals were:</w:t>
            </w:r>
          </w:p>
          <w:p w:rsidR="002E1132" w:rsidRDefault="0051557A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81% m</w:t>
            </w:r>
            <w:r w:rsidR="002E1132" w:rsidRPr="000733DE">
              <w:rPr>
                <w:rFonts w:cs="Arial"/>
                <w:sz w:val="22"/>
                <w:szCs w:val="22"/>
              </w:rPr>
              <w:t>ales</w:t>
            </w:r>
            <w:r w:rsidR="00511287">
              <w:rPr>
                <w:rFonts w:cs="Arial"/>
                <w:sz w:val="22"/>
                <w:szCs w:val="22"/>
              </w:rPr>
              <w:t xml:space="preserve"> (sex at birth)</w:t>
            </w:r>
          </w:p>
          <w:p w:rsidR="00511287" w:rsidRPr="000733DE" w:rsidRDefault="00511287" w:rsidP="006D6030">
            <w:pPr>
              <w:pStyle w:val="ListParagraph"/>
              <w:numPr>
                <w:ilvl w:val="1"/>
                <w:numId w:val="11"/>
              </w:numPr>
              <w:ind w:left="6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Among unlinked males, 56% were Black/African America</w:t>
            </w:r>
            <w:r w:rsidR="00902B63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males and 29% were Hispanic males</w:t>
            </w:r>
          </w:p>
          <w:p w:rsidR="008912BB" w:rsidRDefault="0051557A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60%</w:t>
            </w:r>
            <w:r w:rsidR="008912BB" w:rsidRPr="000733DE">
              <w:rPr>
                <w:rFonts w:cs="Arial"/>
                <w:sz w:val="22"/>
                <w:szCs w:val="22"/>
              </w:rPr>
              <w:t xml:space="preserve"> Black/African American individuals </w:t>
            </w:r>
          </w:p>
          <w:p w:rsidR="00902B63" w:rsidRPr="00902B63" w:rsidRDefault="00902B63" w:rsidP="006D6030">
            <w:pPr>
              <w:pStyle w:val="ListParagraph"/>
              <w:numPr>
                <w:ilvl w:val="1"/>
                <w:numId w:val="11"/>
              </w:numPr>
              <w:ind w:left="6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76% of unlinked females were Black/African American</w:t>
            </w:r>
          </w:p>
          <w:p w:rsidR="002435F9" w:rsidRDefault="002435F9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40% were </w:t>
            </w:r>
            <w:r w:rsidR="008912BB" w:rsidRPr="000733DE">
              <w:rPr>
                <w:rFonts w:cs="Arial"/>
                <w:sz w:val="22"/>
                <w:szCs w:val="22"/>
              </w:rPr>
              <w:t>individuals age 25-34</w:t>
            </w:r>
          </w:p>
          <w:p w:rsidR="002435F9" w:rsidRDefault="002435F9" w:rsidP="006D6030">
            <w:pPr>
              <w:pStyle w:val="ListParagraph"/>
              <w:numPr>
                <w:ilvl w:val="1"/>
                <w:numId w:val="11"/>
              </w:numPr>
              <w:ind w:left="616"/>
              <w:rPr>
                <w:rFonts w:cs="Arial"/>
                <w:sz w:val="22"/>
                <w:szCs w:val="22"/>
              </w:rPr>
            </w:pPr>
            <w:r w:rsidRPr="002435F9">
              <w:rPr>
                <w:rFonts w:cs="Arial"/>
                <w:sz w:val="22"/>
                <w:szCs w:val="22"/>
              </w:rPr>
              <w:t>21% were individuals</w:t>
            </w:r>
            <w:r>
              <w:rPr>
                <w:rFonts w:cs="Arial"/>
                <w:sz w:val="22"/>
                <w:szCs w:val="22"/>
              </w:rPr>
              <w:t xml:space="preserve"> age 35-44</w:t>
            </w:r>
          </w:p>
          <w:p w:rsidR="002435F9" w:rsidRPr="002435F9" w:rsidRDefault="002435F9" w:rsidP="006D6030">
            <w:pPr>
              <w:pStyle w:val="ListParagraph"/>
              <w:numPr>
                <w:ilvl w:val="1"/>
                <w:numId w:val="11"/>
              </w:numPr>
              <w:ind w:left="616"/>
              <w:rPr>
                <w:rFonts w:cs="Arial"/>
                <w:sz w:val="22"/>
                <w:szCs w:val="22"/>
              </w:rPr>
            </w:pPr>
            <w:r w:rsidRPr="002435F9">
              <w:rPr>
                <w:rFonts w:cs="Arial"/>
                <w:sz w:val="22"/>
                <w:szCs w:val="22"/>
              </w:rPr>
              <w:t>18% were youth age 13-24</w:t>
            </w:r>
          </w:p>
          <w:p w:rsidR="008912BB" w:rsidRDefault="003227E1" w:rsidP="006D6030">
            <w:pPr>
              <w:pStyle w:val="ListParagraph"/>
              <w:numPr>
                <w:ilvl w:val="0"/>
                <w:numId w:val="11"/>
              </w:numPr>
              <w:ind w:left="209" w:hanging="2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69% were</w:t>
            </w:r>
            <w:r w:rsidR="008912BB" w:rsidRPr="000733DE">
              <w:rPr>
                <w:rFonts w:cs="Arial"/>
                <w:sz w:val="22"/>
                <w:szCs w:val="22"/>
              </w:rPr>
              <w:t xml:space="preserve"> individuals with MSM risk factor</w:t>
            </w:r>
          </w:p>
          <w:p w:rsidR="003227E1" w:rsidRPr="000733DE" w:rsidRDefault="003227E1" w:rsidP="006D6030">
            <w:pPr>
              <w:pStyle w:val="ListParagraph"/>
              <w:numPr>
                <w:ilvl w:val="1"/>
                <w:numId w:val="11"/>
              </w:numPr>
              <w:ind w:left="6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24% were individuals with heterosexual risk factor</w:t>
            </w:r>
          </w:p>
          <w:p w:rsidR="00DA1D34" w:rsidRPr="000733DE" w:rsidRDefault="00DA1D34" w:rsidP="00DA1D34">
            <w:pPr>
              <w:pStyle w:val="BodyTextIndent2"/>
              <w:spacing w:after="0" w:line="240" w:lineRule="auto"/>
              <w:ind w:left="299" w:right="72"/>
              <w:rPr>
                <w:rFonts w:cs="Arial"/>
                <w:sz w:val="16"/>
                <w:szCs w:val="16"/>
              </w:rPr>
            </w:pPr>
          </w:p>
          <w:p w:rsidR="005C23D1" w:rsidRPr="000733DE" w:rsidRDefault="005C23D1" w:rsidP="00BC7602">
            <w:pPr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</w:pPr>
            <w:r w:rsidRPr="000733DE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 xml:space="preserve">Which groups are </w:t>
            </w:r>
            <w:r w:rsidR="00136CF4" w:rsidRPr="000733DE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>experiencing</w:t>
            </w:r>
            <w:r w:rsidR="00173D29" w:rsidRPr="000733DE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 xml:space="preserve"> concurrent (late) </w:t>
            </w:r>
            <w:proofErr w:type="spellStart"/>
            <w:r w:rsidR="00173D29" w:rsidRPr="000733DE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>diagnosis</w:t>
            </w:r>
            <w:r w:rsidRPr="000733DE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>?</w:t>
            </w:r>
            <w:r w:rsidRPr="000733DE">
              <w:rPr>
                <w:rFonts w:cs="Arial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815163" w:rsidRPr="000733DE" w:rsidRDefault="005C23D1" w:rsidP="00BC7602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Of </w:t>
            </w:r>
            <w:r w:rsidR="00815163" w:rsidRPr="000733DE">
              <w:rPr>
                <w:rFonts w:cs="Arial"/>
                <w:sz w:val="22"/>
                <w:szCs w:val="22"/>
              </w:rPr>
              <w:t>people newly diagnosed in the Houston EMA in 2015, 275</w:t>
            </w:r>
            <w:r w:rsidRPr="000733DE">
              <w:rPr>
                <w:rFonts w:cs="Arial"/>
                <w:sz w:val="22"/>
                <w:szCs w:val="22"/>
              </w:rPr>
              <w:t xml:space="preserve"> or 20% also received an HIV stage 3 (formerly AIDS) diagnosis within 3 months. </w:t>
            </w:r>
          </w:p>
          <w:p w:rsidR="00815163" w:rsidRPr="000733DE" w:rsidRDefault="00815163" w:rsidP="00BC7602">
            <w:pPr>
              <w:rPr>
                <w:rFonts w:cs="Arial"/>
                <w:sz w:val="22"/>
                <w:szCs w:val="22"/>
              </w:rPr>
            </w:pPr>
          </w:p>
          <w:p w:rsidR="002E1132" w:rsidRPr="000733DE" w:rsidRDefault="005C23D1" w:rsidP="00BC7602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Populations disproportionately impacted by late/concurrent diagnoses in the Houston EMA in 2015 include Hispanic females age 35 – 44 (50%), Hispanic females age 55 and older (55%), Hispanic males age 35 – 44 (41%), Hispanic males age 55 and older (59%), and African American males age 35-54 (36%).   </w:t>
            </w:r>
          </w:p>
          <w:p w:rsidR="002E1132" w:rsidRPr="000733DE" w:rsidRDefault="002E1132" w:rsidP="00BC7602">
            <w:pPr>
              <w:rPr>
                <w:rFonts w:cs="Arial"/>
                <w:i/>
                <w:sz w:val="22"/>
                <w:szCs w:val="22"/>
              </w:rPr>
            </w:pPr>
          </w:p>
          <w:p w:rsidR="00BC7602" w:rsidRPr="000733DE" w:rsidRDefault="00BC7602" w:rsidP="00BC7602">
            <w:pPr>
              <w:ind w:right="72"/>
              <w:rPr>
                <w:rFonts w:cs="Arial"/>
                <w:i/>
                <w:sz w:val="22"/>
                <w:szCs w:val="22"/>
              </w:rPr>
            </w:pPr>
          </w:p>
          <w:p w:rsidR="002E1132" w:rsidRPr="000733DE" w:rsidRDefault="002E1132" w:rsidP="00BC7602">
            <w:pPr>
              <w:ind w:right="72"/>
              <w:rPr>
                <w:rFonts w:cs="Arial"/>
                <w:i/>
                <w:sz w:val="14"/>
                <w:szCs w:val="14"/>
              </w:rPr>
            </w:pPr>
          </w:p>
          <w:p w:rsidR="002E1132" w:rsidRPr="000733DE" w:rsidRDefault="00DA1D34" w:rsidP="00BC7602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  <w:r w:rsidRPr="000733DE">
              <w:rPr>
                <w:rFonts w:cs="Arial"/>
                <w:sz w:val="14"/>
                <w:szCs w:val="14"/>
                <w:u w:val="single"/>
              </w:rPr>
              <w:t>S</w:t>
            </w:r>
            <w:r w:rsidR="002E1132" w:rsidRPr="000733DE">
              <w:rPr>
                <w:rFonts w:cs="Arial"/>
                <w:sz w:val="14"/>
                <w:szCs w:val="14"/>
                <w:u w:val="single"/>
              </w:rPr>
              <w:t>ources:</w:t>
            </w:r>
          </w:p>
          <w:p w:rsidR="002E1132" w:rsidRPr="000733DE" w:rsidRDefault="00592975" w:rsidP="00815163">
            <w:pPr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0733DE">
              <w:rPr>
                <w:rFonts w:cs="Arial"/>
                <w:sz w:val="14"/>
                <w:szCs w:val="14"/>
                <w:vertAlign w:val="superscript"/>
              </w:rPr>
              <w:t>a</w:t>
            </w:r>
            <w:r w:rsidRPr="000733DE">
              <w:rPr>
                <w:rFonts w:cs="Arial"/>
                <w:sz w:val="14"/>
                <w:szCs w:val="14"/>
              </w:rPr>
              <w:t>2018</w:t>
            </w:r>
            <w:proofErr w:type="spellEnd"/>
            <w:r w:rsidRPr="000733DE">
              <w:rPr>
                <w:rFonts w:cs="Arial"/>
                <w:sz w:val="14"/>
                <w:szCs w:val="14"/>
                <w:vertAlign w:val="superscript"/>
              </w:rPr>
              <w:t xml:space="preserve"> </w:t>
            </w:r>
            <w:r w:rsidRPr="000733DE">
              <w:rPr>
                <w:rFonts w:cs="Arial"/>
                <w:sz w:val="14"/>
                <w:szCs w:val="14"/>
              </w:rPr>
              <w:t>Epidemiological Profile – In Progress</w:t>
            </w:r>
          </w:p>
        </w:tc>
        <w:tc>
          <w:tcPr>
            <w:tcW w:w="7011" w:type="dxa"/>
            <w:tcMar>
              <w:top w:w="72" w:type="dxa"/>
              <w:left w:w="115" w:type="dxa"/>
              <w:bottom w:w="43" w:type="dxa"/>
              <w:right w:w="115" w:type="dxa"/>
            </w:tcMar>
          </w:tcPr>
          <w:p w:rsidR="002E1132" w:rsidRPr="000733DE" w:rsidRDefault="002E1132" w:rsidP="00BC7602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lastRenderedPageBreak/>
              <w:t>Initiatives at the national, state, and local level offer important guidance on how to design effective HIV care services for the Houston EMA:</w:t>
            </w:r>
          </w:p>
          <w:p w:rsidR="002E1132" w:rsidRPr="000733DE" w:rsidRDefault="002E1132" w:rsidP="00BC7602">
            <w:pPr>
              <w:rPr>
                <w:rFonts w:cs="Arial"/>
                <w:b/>
                <w:sz w:val="16"/>
                <w:szCs w:val="16"/>
              </w:rPr>
            </w:pPr>
          </w:p>
          <w:p w:rsidR="002E1132" w:rsidRPr="000733DE" w:rsidRDefault="002E1132" w:rsidP="00BC7602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b/>
                <w:sz w:val="22"/>
                <w:szCs w:val="22"/>
              </w:rPr>
              <w:t>National HIV/AIDS Strategy (</w:t>
            </w:r>
            <w:proofErr w:type="spellStart"/>
            <w:r w:rsidRPr="000733DE">
              <w:rPr>
                <w:rFonts w:cs="Arial"/>
                <w:b/>
                <w:sz w:val="22"/>
                <w:szCs w:val="22"/>
              </w:rPr>
              <w:t>NHAS</w:t>
            </w:r>
            <w:proofErr w:type="spellEnd"/>
            <w:r w:rsidRPr="000733DE">
              <w:rPr>
                <w:rFonts w:cs="Arial"/>
                <w:b/>
                <w:sz w:val="22"/>
                <w:szCs w:val="22"/>
              </w:rPr>
              <w:t>)</w:t>
            </w:r>
            <w:r w:rsidR="00F04CA4" w:rsidRPr="000733DE">
              <w:rPr>
                <w:rFonts w:cs="Arial"/>
                <w:b/>
                <w:sz w:val="22"/>
                <w:szCs w:val="22"/>
              </w:rPr>
              <w:t xml:space="preserve"> Updated for 2020</w:t>
            </w:r>
          </w:p>
          <w:p w:rsidR="002E1132" w:rsidRPr="000733DE" w:rsidRDefault="002E1132" w:rsidP="00BC7602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Released in July 201</w:t>
            </w:r>
            <w:r w:rsidR="005E1419" w:rsidRPr="000733DE">
              <w:rPr>
                <w:rFonts w:cs="Arial"/>
                <w:sz w:val="22"/>
                <w:szCs w:val="22"/>
              </w:rPr>
              <w:t>5</w:t>
            </w:r>
            <w:r w:rsidRPr="000733DE">
              <w:rPr>
                <w:rFonts w:cs="Arial"/>
                <w:sz w:val="22"/>
                <w:szCs w:val="22"/>
              </w:rPr>
              <w:t>,</w:t>
            </w:r>
            <w:r w:rsidRPr="000733D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0733DE">
              <w:rPr>
                <w:rFonts w:cs="Arial"/>
                <w:sz w:val="22"/>
                <w:szCs w:val="22"/>
              </w:rPr>
              <w:t>NHAS</w:t>
            </w:r>
            <w:proofErr w:type="spellEnd"/>
            <w:r w:rsidRPr="000733DE">
              <w:rPr>
                <w:rFonts w:cs="Arial"/>
                <w:sz w:val="22"/>
                <w:szCs w:val="22"/>
              </w:rPr>
              <w:t xml:space="preserve"> includes </w:t>
            </w:r>
            <w:r w:rsidR="00CE7D08" w:rsidRPr="000733DE">
              <w:rPr>
                <w:rFonts w:cs="Arial"/>
                <w:sz w:val="22"/>
                <w:szCs w:val="22"/>
              </w:rPr>
              <w:t>three</w:t>
            </w:r>
            <w:r w:rsidR="005E1419" w:rsidRPr="000733DE">
              <w:rPr>
                <w:rFonts w:cs="Arial"/>
                <w:sz w:val="22"/>
                <w:szCs w:val="22"/>
              </w:rPr>
              <w:t xml:space="preserve"> broad outcomes for HIV care</w:t>
            </w:r>
            <w:r w:rsidRPr="000733DE">
              <w:rPr>
                <w:rFonts w:cs="Arial"/>
                <w:sz w:val="22"/>
                <w:szCs w:val="22"/>
              </w:rPr>
              <w:t>:</w:t>
            </w:r>
          </w:p>
          <w:p w:rsidR="005E1419" w:rsidRPr="000733DE" w:rsidRDefault="005E1419" w:rsidP="006D6030">
            <w:pPr>
              <w:pStyle w:val="ListParagraph"/>
              <w:numPr>
                <w:ilvl w:val="0"/>
                <w:numId w:val="35"/>
              </w:numPr>
              <w:ind w:left="295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Increase the percentage of newly diagnosed persons linked to HIV medical care within one month of their HIV diagnosis to at least 85%.</w:t>
            </w:r>
          </w:p>
          <w:p w:rsidR="005E1419" w:rsidRPr="000733DE" w:rsidRDefault="005E1419" w:rsidP="006D6030">
            <w:pPr>
              <w:pStyle w:val="ListParagraph"/>
              <w:numPr>
                <w:ilvl w:val="0"/>
                <w:numId w:val="35"/>
              </w:numPr>
              <w:ind w:left="295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Increase the percentage of persons with diagnosed HIV who are retained in HIV medical care to at least 90%.</w:t>
            </w:r>
          </w:p>
          <w:p w:rsidR="005E1419" w:rsidRPr="000733DE" w:rsidRDefault="005E1419" w:rsidP="006D6030">
            <w:pPr>
              <w:pStyle w:val="ListParagraph"/>
              <w:numPr>
                <w:ilvl w:val="0"/>
                <w:numId w:val="35"/>
              </w:numPr>
              <w:ind w:left="295"/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Increase the percentage of persons with diagnosed HIV who are virally suppressed to at least 80%.</w:t>
            </w:r>
          </w:p>
          <w:p w:rsidR="002E1132" w:rsidRPr="000733DE" w:rsidRDefault="002E1132" w:rsidP="00BC7602">
            <w:pPr>
              <w:rPr>
                <w:rFonts w:cs="Arial"/>
                <w:b/>
                <w:sz w:val="16"/>
                <w:szCs w:val="16"/>
              </w:rPr>
            </w:pPr>
          </w:p>
          <w:p w:rsidR="002E1132" w:rsidRPr="000733DE" w:rsidRDefault="002E1132" w:rsidP="00BC7602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b/>
                <w:sz w:val="22"/>
                <w:szCs w:val="22"/>
              </w:rPr>
              <w:t>Early Identification of Individuals with HIV/AIDS (EIIHA)</w:t>
            </w:r>
          </w:p>
          <w:p w:rsidR="002E1132" w:rsidRPr="000733DE" w:rsidRDefault="002E1132" w:rsidP="00BC7602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EIIHA is a HRSA initiative required of all Part A grantees. It has four goals:</w:t>
            </w:r>
          </w:p>
          <w:p w:rsidR="002E1132" w:rsidRPr="000733DE" w:rsidRDefault="002E1132" w:rsidP="006D6030">
            <w:pPr>
              <w:pStyle w:val="ListParagraph"/>
              <w:numPr>
                <w:ilvl w:val="0"/>
                <w:numId w:val="9"/>
              </w:numPr>
              <w:ind w:left="263" w:hanging="263"/>
              <w:rPr>
                <w:rFonts w:cs="Arial"/>
                <w:sz w:val="22"/>
                <w:szCs w:val="22"/>
              </w:rPr>
            </w:pPr>
            <w:r w:rsidRPr="000733DE">
              <w:rPr>
                <w:bCs/>
                <w:iCs/>
                <w:sz w:val="22"/>
                <w:szCs w:val="22"/>
              </w:rPr>
              <w:t xml:space="preserve">Identifying individuals unaware of their HIV status </w:t>
            </w:r>
          </w:p>
          <w:p w:rsidR="002E1132" w:rsidRPr="000733DE" w:rsidRDefault="002E1132" w:rsidP="006D6030">
            <w:pPr>
              <w:pStyle w:val="ListParagraph"/>
              <w:numPr>
                <w:ilvl w:val="0"/>
                <w:numId w:val="9"/>
              </w:numPr>
              <w:ind w:left="263" w:hanging="263"/>
              <w:rPr>
                <w:rFonts w:cs="Arial"/>
                <w:sz w:val="22"/>
                <w:szCs w:val="22"/>
              </w:rPr>
            </w:pPr>
            <w:r w:rsidRPr="000733DE">
              <w:rPr>
                <w:bCs/>
                <w:iCs/>
                <w:sz w:val="22"/>
                <w:szCs w:val="22"/>
              </w:rPr>
              <w:t>Informing individuals unaware of their HIV status</w:t>
            </w:r>
          </w:p>
          <w:p w:rsidR="002E1132" w:rsidRPr="000733DE" w:rsidRDefault="002E1132" w:rsidP="006D6030">
            <w:pPr>
              <w:pStyle w:val="ListParagraph"/>
              <w:numPr>
                <w:ilvl w:val="0"/>
                <w:numId w:val="9"/>
              </w:numPr>
              <w:ind w:left="263" w:hanging="263"/>
              <w:rPr>
                <w:rFonts w:cs="Arial"/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Referring to medical care and services </w:t>
            </w:r>
          </w:p>
          <w:p w:rsidR="002E1132" w:rsidRPr="000733DE" w:rsidRDefault="002E1132" w:rsidP="006D6030">
            <w:pPr>
              <w:pStyle w:val="ListParagraph"/>
              <w:numPr>
                <w:ilvl w:val="0"/>
                <w:numId w:val="9"/>
              </w:numPr>
              <w:ind w:left="263" w:hanging="263"/>
              <w:rPr>
                <w:rFonts w:cs="Arial"/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Linking to medical care</w:t>
            </w:r>
            <w:r w:rsidRPr="000733DE">
              <w:rPr>
                <w:rFonts w:cs="Arial"/>
                <w:sz w:val="22"/>
                <w:szCs w:val="22"/>
              </w:rPr>
              <w:t xml:space="preserve"> </w:t>
            </w:r>
          </w:p>
          <w:p w:rsidR="002E1132" w:rsidRPr="000733DE" w:rsidRDefault="002E1132" w:rsidP="00BC7602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The </w:t>
            </w:r>
            <w:proofErr w:type="spellStart"/>
            <w:r w:rsidRPr="000733DE">
              <w:rPr>
                <w:rFonts w:cs="Arial"/>
                <w:sz w:val="22"/>
                <w:szCs w:val="22"/>
              </w:rPr>
              <w:t>EMA’s</w:t>
            </w:r>
            <w:proofErr w:type="spellEnd"/>
            <w:r w:rsidRPr="000733DE">
              <w:rPr>
                <w:rFonts w:cs="Arial"/>
                <w:sz w:val="22"/>
                <w:szCs w:val="22"/>
              </w:rPr>
              <w:t xml:space="preserve"> EIIHA Strategy also includes a special populations focus:</w:t>
            </w:r>
          </w:p>
          <w:p w:rsidR="00F04CA4" w:rsidRPr="000733DE" w:rsidRDefault="00F04CA4" w:rsidP="006D6030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295"/>
              </w:tabs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African Americans</w:t>
            </w:r>
          </w:p>
          <w:p w:rsidR="00F04CA4" w:rsidRPr="000733DE" w:rsidRDefault="0026316E" w:rsidP="006D6030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Hispanics/Latinos age 25</w:t>
            </w:r>
            <w:r w:rsidR="00F04CA4" w:rsidRPr="000733DE">
              <w:rPr>
                <w:sz w:val="22"/>
                <w:szCs w:val="22"/>
              </w:rPr>
              <w:t xml:space="preserve"> and over</w:t>
            </w:r>
          </w:p>
          <w:p w:rsidR="00F04CA4" w:rsidRPr="000733DE" w:rsidRDefault="00F04CA4" w:rsidP="006D6030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295"/>
              </w:tabs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Men who have Sex with Men (MSM)</w:t>
            </w:r>
          </w:p>
          <w:p w:rsidR="0003364D" w:rsidRPr="000733DE" w:rsidRDefault="0003364D" w:rsidP="0003364D">
            <w:pPr>
              <w:pStyle w:val="ListParagraph"/>
              <w:ind w:left="277"/>
              <w:rPr>
                <w:rFonts w:cs="Arial"/>
                <w:b/>
                <w:sz w:val="22"/>
                <w:szCs w:val="22"/>
              </w:rPr>
            </w:pPr>
          </w:p>
          <w:p w:rsidR="002E1132" w:rsidRPr="000733DE" w:rsidRDefault="00035AC1" w:rsidP="00BC7602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b/>
                <w:sz w:val="22"/>
                <w:szCs w:val="22"/>
              </w:rPr>
              <w:t xml:space="preserve">HIV Care </w:t>
            </w:r>
            <w:proofErr w:type="spellStart"/>
            <w:r w:rsidRPr="000733DE">
              <w:rPr>
                <w:rFonts w:cs="Arial"/>
                <w:b/>
                <w:sz w:val="22"/>
                <w:szCs w:val="22"/>
              </w:rPr>
              <w:t>Continuum</w:t>
            </w:r>
            <w:r w:rsidRPr="000733DE">
              <w:rPr>
                <w:rFonts w:cs="Arial"/>
                <w:b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2E1132" w:rsidRPr="000733DE" w:rsidRDefault="002E1132" w:rsidP="00BC7602">
            <w:pPr>
              <w:rPr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Developed by the CDC in 2012, the </w:t>
            </w:r>
            <w:r w:rsidR="00DA2205" w:rsidRPr="000733DE">
              <w:rPr>
                <w:rFonts w:cs="Arial"/>
                <w:sz w:val="22"/>
                <w:szCs w:val="22"/>
              </w:rPr>
              <w:t>Continuum of Care</w:t>
            </w:r>
            <w:r w:rsidR="00035AC1" w:rsidRPr="000733DE">
              <w:rPr>
                <w:rFonts w:cs="Arial"/>
                <w:sz w:val="22"/>
                <w:szCs w:val="22"/>
              </w:rPr>
              <w:t xml:space="preserve"> is a five-step model of PLWH</w:t>
            </w:r>
            <w:r w:rsidRPr="000733DE">
              <w:rPr>
                <w:rFonts w:cs="Arial"/>
                <w:sz w:val="22"/>
                <w:szCs w:val="22"/>
              </w:rPr>
              <w:t xml:space="preserve"> engagement in HIV medical care.  Using the model, local communities can identify specific areas for scaled-up engagement efforts</w:t>
            </w:r>
            <w:r w:rsidRPr="000733DE">
              <w:rPr>
                <w:sz w:val="22"/>
                <w:szCs w:val="22"/>
              </w:rPr>
              <w:t xml:space="preserve">. The Houston </w:t>
            </w:r>
            <w:proofErr w:type="spellStart"/>
            <w:r w:rsidRPr="000733DE">
              <w:rPr>
                <w:sz w:val="22"/>
                <w:szCs w:val="22"/>
              </w:rPr>
              <w:t>EMA’s</w:t>
            </w:r>
            <w:proofErr w:type="spellEnd"/>
            <w:r w:rsidRPr="000733DE">
              <w:rPr>
                <w:sz w:val="22"/>
                <w:szCs w:val="22"/>
              </w:rPr>
              <w:t xml:space="preserve"> current </w:t>
            </w:r>
            <w:r w:rsidR="00035AC1" w:rsidRPr="000733DE">
              <w:rPr>
                <w:rFonts w:cs="Arial"/>
                <w:sz w:val="22"/>
                <w:szCs w:val="22"/>
              </w:rPr>
              <w:t>HIV Care Continuum</w:t>
            </w:r>
            <w:r w:rsidR="00BC3ADD" w:rsidRPr="000733DE">
              <w:rPr>
                <w:rFonts w:cs="Arial"/>
                <w:sz w:val="22"/>
                <w:szCs w:val="22"/>
              </w:rPr>
              <w:t xml:space="preserve"> (201</w:t>
            </w:r>
            <w:r w:rsidR="003102F6" w:rsidRPr="000733DE">
              <w:rPr>
                <w:rFonts w:cs="Arial"/>
                <w:sz w:val="22"/>
                <w:szCs w:val="22"/>
              </w:rPr>
              <w:t>6</w:t>
            </w:r>
            <w:r w:rsidR="00BC3ADD" w:rsidRPr="000733DE">
              <w:rPr>
                <w:rFonts w:cs="Arial"/>
                <w:sz w:val="22"/>
                <w:szCs w:val="22"/>
              </w:rPr>
              <w:t>)</w:t>
            </w:r>
            <w:r w:rsidRPr="000733DE">
              <w:rPr>
                <w:sz w:val="22"/>
                <w:szCs w:val="22"/>
              </w:rPr>
              <w:t xml:space="preserve"> is as follows: </w:t>
            </w:r>
          </w:p>
          <w:p w:rsidR="002E1132" w:rsidRPr="000733DE" w:rsidRDefault="00F35383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295"/>
              </w:tabs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27,023</w:t>
            </w:r>
            <w:r w:rsidR="007019A4" w:rsidRPr="000733DE">
              <w:rPr>
                <w:sz w:val="22"/>
                <w:szCs w:val="22"/>
              </w:rPr>
              <w:t xml:space="preserve"> </w:t>
            </w:r>
            <w:r w:rsidR="002E1132" w:rsidRPr="000733DE">
              <w:rPr>
                <w:sz w:val="22"/>
                <w:szCs w:val="22"/>
              </w:rPr>
              <w:t xml:space="preserve">people are currently </w:t>
            </w:r>
            <w:r w:rsidR="007019A4" w:rsidRPr="000733DE">
              <w:rPr>
                <w:sz w:val="22"/>
                <w:szCs w:val="22"/>
              </w:rPr>
              <w:t>diagnosed with HIV</w:t>
            </w:r>
            <w:r w:rsidR="002E1132" w:rsidRPr="000733DE">
              <w:rPr>
                <w:sz w:val="22"/>
                <w:szCs w:val="22"/>
              </w:rPr>
              <w:t xml:space="preserve"> in the EMA</w:t>
            </w:r>
            <w:r w:rsidR="007019A4" w:rsidRPr="000733DE">
              <w:rPr>
                <w:sz w:val="22"/>
                <w:szCs w:val="22"/>
              </w:rPr>
              <w:t xml:space="preserve">; an additional </w:t>
            </w:r>
            <w:r w:rsidRPr="000733DE">
              <w:rPr>
                <w:sz w:val="22"/>
                <w:szCs w:val="22"/>
              </w:rPr>
              <w:t>5,653</w:t>
            </w:r>
            <w:r w:rsidR="005B63A2" w:rsidRPr="000733DE">
              <w:rPr>
                <w:sz w:val="22"/>
                <w:szCs w:val="22"/>
              </w:rPr>
              <w:t xml:space="preserve"> </w:t>
            </w:r>
            <w:r w:rsidR="007019A4" w:rsidRPr="000733DE">
              <w:rPr>
                <w:sz w:val="22"/>
                <w:szCs w:val="22"/>
              </w:rPr>
              <w:t xml:space="preserve">people are estimated to be </w:t>
            </w:r>
            <w:r w:rsidRPr="000733DE">
              <w:rPr>
                <w:sz w:val="22"/>
                <w:szCs w:val="22"/>
              </w:rPr>
              <w:t>living with HIV</w:t>
            </w:r>
            <w:r w:rsidR="007019A4" w:rsidRPr="000733DE">
              <w:rPr>
                <w:sz w:val="22"/>
                <w:szCs w:val="22"/>
              </w:rPr>
              <w:t>, but unaware of their status</w:t>
            </w:r>
          </w:p>
          <w:p w:rsidR="002E1132" w:rsidRPr="000733DE" w:rsidRDefault="005B63A2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</w:tabs>
              <w:ind w:left="277" w:hanging="277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Of those </w:t>
            </w:r>
            <w:r w:rsidR="00F35383" w:rsidRPr="000733DE">
              <w:rPr>
                <w:sz w:val="22"/>
                <w:szCs w:val="22"/>
              </w:rPr>
              <w:t>diagnosed</w:t>
            </w:r>
            <w:r w:rsidRPr="000733DE">
              <w:rPr>
                <w:sz w:val="22"/>
                <w:szCs w:val="22"/>
              </w:rPr>
              <w:t>, 76</w:t>
            </w:r>
            <w:r w:rsidR="00F04CA4" w:rsidRPr="000733DE">
              <w:rPr>
                <w:sz w:val="22"/>
                <w:szCs w:val="22"/>
              </w:rPr>
              <w:t>% have accessed</w:t>
            </w:r>
            <w:r w:rsidR="002E1132" w:rsidRPr="000733DE">
              <w:rPr>
                <w:sz w:val="22"/>
                <w:szCs w:val="22"/>
              </w:rPr>
              <w:t xml:space="preserve"> HIV care </w:t>
            </w:r>
          </w:p>
          <w:p w:rsidR="002E1132" w:rsidRPr="000733DE" w:rsidRDefault="00F35383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</w:tabs>
              <w:ind w:left="277" w:hanging="277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Of those diagnosed, 61</w:t>
            </w:r>
            <w:r w:rsidR="002E1132" w:rsidRPr="000733DE">
              <w:rPr>
                <w:sz w:val="22"/>
                <w:szCs w:val="22"/>
              </w:rPr>
              <w:t xml:space="preserve">% have been retained in HIV care </w:t>
            </w:r>
          </w:p>
          <w:p w:rsidR="002E1132" w:rsidRPr="000733DE" w:rsidRDefault="00F35383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</w:tabs>
              <w:ind w:left="277" w:hanging="277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Of those diagnosed, 58</w:t>
            </w:r>
            <w:r w:rsidR="002E1132" w:rsidRPr="000733DE">
              <w:rPr>
                <w:sz w:val="22"/>
                <w:szCs w:val="22"/>
              </w:rPr>
              <w:t xml:space="preserve">% have a suppressed viral load </w:t>
            </w:r>
          </w:p>
          <w:p w:rsidR="00CE7D08" w:rsidRPr="000733DE" w:rsidRDefault="00CE7D08" w:rsidP="00CE7D08">
            <w:pPr>
              <w:rPr>
                <w:sz w:val="22"/>
                <w:szCs w:val="22"/>
              </w:rPr>
            </w:pPr>
          </w:p>
          <w:p w:rsidR="00CE7D08" w:rsidRPr="000733DE" w:rsidRDefault="00CE7D08" w:rsidP="00CE7D08">
            <w:pPr>
              <w:rPr>
                <w:sz w:val="22"/>
                <w:szCs w:val="22"/>
              </w:rPr>
            </w:pPr>
          </w:p>
          <w:p w:rsidR="002E1132" w:rsidRPr="000733DE" w:rsidRDefault="002E1132" w:rsidP="00BC7602">
            <w:pPr>
              <w:ind w:right="72"/>
              <w:rPr>
                <w:rFonts w:cs="Arial"/>
                <w:sz w:val="14"/>
                <w:szCs w:val="14"/>
                <w:u w:val="single"/>
              </w:rPr>
            </w:pPr>
            <w:r w:rsidRPr="000733DE">
              <w:rPr>
                <w:rFonts w:cs="Arial"/>
                <w:sz w:val="14"/>
                <w:szCs w:val="14"/>
                <w:u w:val="single"/>
              </w:rPr>
              <w:t>Source:</w:t>
            </w:r>
          </w:p>
          <w:p w:rsidR="00B20E7B" w:rsidRPr="000733DE" w:rsidRDefault="00CF3F95" w:rsidP="00B20E7B">
            <w:pPr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0733DE">
              <w:rPr>
                <w:rFonts w:cs="Arial"/>
                <w:sz w:val="14"/>
                <w:szCs w:val="14"/>
                <w:vertAlign w:val="superscript"/>
              </w:rPr>
              <w:t>a</w:t>
            </w:r>
            <w:r w:rsidR="00062146" w:rsidRPr="000733DE">
              <w:rPr>
                <w:rFonts w:cs="Arial"/>
                <w:sz w:val="14"/>
                <w:szCs w:val="14"/>
              </w:rPr>
              <w:t>H</w:t>
            </w:r>
            <w:r w:rsidR="00F35383" w:rsidRPr="000733DE">
              <w:rPr>
                <w:rFonts w:cs="Arial"/>
                <w:sz w:val="14"/>
                <w:szCs w:val="14"/>
              </w:rPr>
              <w:t>ouston</w:t>
            </w:r>
            <w:proofErr w:type="spellEnd"/>
            <w:r w:rsidR="00F35383" w:rsidRPr="000733DE">
              <w:rPr>
                <w:rFonts w:cs="Arial"/>
                <w:sz w:val="14"/>
                <w:szCs w:val="14"/>
              </w:rPr>
              <w:t xml:space="preserve"> EMA H</w:t>
            </w:r>
            <w:r w:rsidR="00062146" w:rsidRPr="000733DE">
              <w:rPr>
                <w:rFonts w:cs="Arial"/>
                <w:sz w:val="14"/>
                <w:szCs w:val="14"/>
              </w:rPr>
              <w:t>IV Care Continuum</w:t>
            </w:r>
            <w:r w:rsidR="00F35383" w:rsidRPr="000733DE">
              <w:rPr>
                <w:rFonts w:cs="Arial"/>
                <w:sz w:val="14"/>
                <w:szCs w:val="14"/>
              </w:rPr>
              <w:t xml:space="preserve">, </w:t>
            </w:r>
            <w:hyperlink r:id="rId8" w:history="1">
              <w:r w:rsidR="00F35383" w:rsidRPr="000733DE">
                <w:rPr>
                  <w:rStyle w:val="Hyperlink"/>
                  <w:rFonts w:cs="Arial"/>
                  <w:sz w:val="14"/>
                  <w:szCs w:val="14"/>
                </w:rPr>
                <w:t>http://rwpchouston.org/Publications/2017_Comp_Plan/Care_Continuum.htm</w:t>
              </w:r>
            </w:hyperlink>
            <w:r w:rsidR="00F35383" w:rsidRPr="000733DE">
              <w:rPr>
                <w:rFonts w:cs="Arial"/>
                <w:sz w:val="14"/>
                <w:szCs w:val="14"/>
              </w:rPr>
              <w:t xml:space="preserve"> </w:t>
            </w:r>
          </w:p>
          <w:p w:rsidR="007019A4" w:rsidRPr="000733DE" w:rsidRDefault="007019A4" w:rsidP="00BC7602">
            <w:pPr>
              <w:rPr>
                <w:rFonts w:cs="Arial"/>
                <w:i/>
                <w:sz w:val="14"/>
                <w:szCs w:val="14"/>
              </w:rPr>
            </w:pPr>
          </w:p>
          <w:p w:rsidR="002E1132" w:rsidRPr="000733DE" w:rsidRDefault="002E1132" w:rsidP="00BC7602">
            <w:pPr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0733DE">
              <w:rPr>
                <w:rFonts w:cs="Arial"/>
                <w:i/>
                <w:sz w:val="22"/>
                <w:szCs w:val="22"/>
              </w:rPr>
              <w:lastRenderedPageBreak/>
              <w:t>Con’t</w:t>
            </w:r>
            <w:proofErr w:type="spellEnd"/>
            <w:r w:rsidRPr="000733DE">
              <w:rPr>
                <w:rFonts w:cs="Arial"/>
                <w:i/>
                <w:sz w:val="22"/>
                <w:szCs w:val="22"/>
              </w:rPr>
              <w:t xml:space="preserve"> from Page 1</w:t>
            </w:r>
          </w:p>
          <w:p w:rsidR="002E1132" w:rsidRPr="000733DE" w:rsidRDefault="002E1132" w:rsidP="00BC7602">
            <w:pPr>
              <w:rPr>
                <w:rFonts w:cs="Arial"/>
                <w:b/>
                <w:sz w:val="8"/>
                <w:szCs w:val="8"/>
              </w:rPr>
            </w:pPr>
          </w:p>
          <w:p w:rsidR="00C759D4" w:rsidRPr="000733DE" w:rsidRDefault="002E1132" w:rsidP="00C759D4">
            <w:pPr>
              <w:rPr>
                <w:rFonts w:cs="Arial"/>
                <w:szCs w:val="20"/>
                <w:u w:val="single"/>
              </w:rPr>
            </w:pPr>
            <w:r w:rsidRPr="000733DE">
              <w:rPr>
                <w:rFonts w:cs="Arial"/>
                <w:b/>
                <w:sz w:val="22"/>
                <w:szCs w:val="22"/>
              </w:rPr>
              <w:t xml:space="preserve">The </w:t>
            </w:r>
            <w:r w:rsidR="004004E5" w:rsidRPr="000733DE">
              <w:rPr>
                <w:rFonts w:cs="Arial"/>
                <w:b/>
                <w:sz w:val="22"/>
                <w:szCs w:val="22"/>
              </w:rPr>
              <w:t xml:space="preserve">2017-2021 </w:t>
            </w:r>
            <w:r w:rsidRPr="000733DE">
              <w:rPr>
                <w:rFonts w:cs="Arial"/>
                <w:b/>
                <w:sz w:val="22"/>
                <w:szCs w:val="22"/>
              </w:rPr>
              <w:t>Texas HIV Plan</w:t>
            </w:r>
          </w:p>
          <w:p w:rsidR="002E1132" w:rsidRPr="000733DE" w:rsidRDefault="002E1132" w:rsidP="00BC7602">
            <w:pPr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The Texas Department of State Health Services (DSHS) has also developed a model of </w:t>
            </w:r>
            <w:r w:rsidR="009B336E" w:rsidRPr="000733DE">
              <w:rPr>
                <w:sz w:val="22"/>
                <w:szCs w:val="22"/>
              </w:rPr>
              <w:t>PLWH</w:t>
            </w:r>
            <w:r w:rsidRPr="000733DE">
              <w:rPr>
                <w:sz w:val="22"/>
                <w:szCs w:val="22"/>
              </w:rPr>
              <w:t xml:space="preserve"> engagement in HIV medical care, which serves as the foundation for efforts to redu</w:t>
            </w:r>
            <w:bookmarkStart w:id="0" w:name="_GoBack"/>
            <w:bookmarkEnd w:id="0"/>
            <w:r w:rsidRPr="000733DE">
              <w:rPr>
                <w:sz w:val="22"/>
                <w:szCs w:val="22"/>
              </w:rPr>
              <w:t xml:space="preserve">ce HIV </w:t>
            </w:r>
            <w:r w:rsidR="00136CF4" w:rsidRPr="000733DE">
              <w:rPr>
                <w:sz w:val="22"/>
                <w:szCs w:val="22"/>
              </w:rPr>
              <w:t>transmissions</w:t>
            </w:r>
            <w:r w:rsidRPr="000733DE">
              <w:rPr>
                <w:sz w:val="22"/>
                <w:szCs w:val="22"/>
              </w:rPr>
              <w:t xml:space="preserve"> for the state as a whole.</w:t>
            </w:r>
            <w:r w:rsidRPr="000733DE">
              <w:rPr>
                <w:rFonts w:cs="Arial"/>
                <w:sz w:val="22"/>
                <w:szCs w:val="22"/>
              </w:rPr>
              <w:t xml:space="preserve"> </w:t>
            </w:r>
            <w:r w:rsidR="000733DE" w:rsidRPr="000733DE">
              <w:rPr>
                <w:rFonts w:cs="Arial"/>
                <w:sz w:val="22"/>
                <w:szCs w:val="22"/>
              </w:rPr>
              <w:t xml:space="preserve">Goals specific to </w:t>
            </w:r>
            <w:r w:rsidRPr="000733DE">
              <w:rPr>
                <w:rFonts w:cs="Arial"/>
                <w:sz w:val="22"/>
                <w:szCs w:val="22"/>
              </w:rPr>
              <w:t>HIV care services improvements for the state are</w:t>
            </w:r>
            <w:r w:rsidRPr="000733DE">
              <w:rPr>
                <w:sz w:val="22"/>
                <w:szCs w:val="22"/>
              </w:rPr>
              <w:t xml:space="preserve">: </w:t>
            </w:r>
          </w:p>
          <w:p w:rsidR="00E056BA" w:rsidRPr="000733DE" w:rsidRDefault="000733DE" w:rsidP="006D6030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22"/>
                <w:szCs w:val="22"/>
              </w:rPr>
            </w:pPr>
            <w:r w:rsidRPr="000733DE">
              <w:rPr>
                <w:bCs/>
                <w:sz w:val="22"/>
                <w:szCs w:val="22"/>
              </w:rPr>
              <w:t>Increase</w:t>
            </w:r>
            <w:r w:rsidR="00C759D4" w:rsidRPr="000733DE">
              <w:rPr>
                <w:bCs/>
                <w:sz w:val="22"/>
                <w:szCs w:val="22"/>
              </w:rPr>
              <w:t xml:space="preserve"> timely linkage to HIV-related care and treatment</w:t>
            </w:r>
          </w:p>
          <w:p w:rsidR="00E056BA" w:rsidRPr="000733DE" w:rsidRDefault="000733DE" w:rsidP="006D6030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22"/>
                <w:szCs w:val="22"/>
              </w:rPr>
            </w:pPr>
            <w:r w:rsidRPr="000733DE">
              <w:rPr>
                <w:bCs/>
                <w:sz w:val="22"/>
                <w:szCs w:val="22"/>
              </w:rPr>
              <w:t>Increase</w:t>
            </w:r>
            <w:r w:rsidR="00E056BA" w:rsidRPr="000733DE">
              <w:rPr>
                <w:bCs/>
                <w:sz w:val="22"/>
                <w:szCs w:val="22"/>
              </w:rPr>
              <w:t xml:space="preserve"> c</w:t>
            </w:r>
            <w:r w:rsidR="00E056BA" w:rsidRPr="000733DE">
              <w:rPr>
                <w:sz w:val="22"/>
                <w:szCs w:val="22"/>
              </w:rPr>
              <w:t>ontinuous participation in systems of care and treatment</w:t>
            </w:r>
          </w:p>
          <w:p w:rsidR="00E056BA" w:rsidRPr="000733DE" w:rsidRDefault="00E056BA" w:rsidP="006D6030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Increase viral suppression</w:t>
            </w:r>
          </w:p>
          <w:p w:rsidR="002E1132" w:rsidRPr="000733DE" w:rsidRDefault="002E1132" w:rsidP="00BC7602">
            <w:pPr>
              <w:rPr>
                <w:rFonts w:cs="Arial"/>
                <w:sz w:val="8"/>
                <w:szCs w:val="8"/>
              </w:rPr>
            </w:pPr>
          </w:p>
          <w:p w:rsidR="002E1132" w:rsidRPr="000733DE" w:rsidRDefault="002E1132" w:rsidP="00BC7602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b/>
                <w:sz w:val="22"/>
                <w:szCs w:val="22"/>
              </w:rPr>
              <w:t>Houston A</w:t>
            </w:r>
            <w:r w:rsidR="00062146" w:rsidRPr="000733DE">
              <w:rPr>
                <w:rFonts w:cs="Arial"/>
                <w:b/>
                <w:sz w:val="22"/>
                <w:szCs w:val="22"/>
              </w:rPr>
              <w:t>rea Comprehensive HIV Plan (2017</w:t>
            </w:r>
            <w:r w:rsidRPr="000733DE">
              <w:rPr>
                <w:rFonts w:cs="Arial"/>
                <w:b/>
                <w:sz w:val="22"/>
                <w:szCs w:val="22"/>
              </w:rPr>
              <w:t xml:space="preserve"> – 20</w:t>
            </w:r>
            <w:r w:rsidR="00062146" w:rsidRPr="000733DE">
              <w:rPr>
                <w:rFonts w:cs="Arial"/>
                <w:b/>
                <w:sz w:val="22"/>
                <w:szCs w:val="22"/>
              </w:rPr>
              <w:t>21</w:t>
            </w:r>
            <w:r w:rsidRPr="000733DE">
              <w:rPr>
                <w:rFonts w:cs="Arial"/>
                <w:b/>
                <w:sz w:val="22"/>
                <w:szCs w:val="22"/>
              </w:rPr>
              <w:t>)</w:t>
            </w:r>
          </w:p>
          <w:p w:rsidR="002E1132" w:rsidRPr="000733DE" w:rsidRDefault="002E1132" w:rsidP="00BC7602">
            <w:pPr>
              <w:rPr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This document outlines strategies, activities, and benchmarks for improving the entire system of HIV prevention and care in the EMA. HIV care services improvements slated for achieve</w:t>
            </w:r>
            <w:r w:rsidR="00EC68DA" w:rsidRPr="000733DE">
              <w:rPr>
                <w:rFonts w:cs="Arial"/>
                <w:sz w:val="22"/>
                <w:szCs w:val="22"/>
              </w:rPr>
              <w:t xml:space="preserve">ment by 2021 </w:t>
            </w:r>
            <w:r w:rsidRPr="000733DE">
              <w:rPr>
                <w:rFonts w:cs="Arial"/>
                <w:sz w:val="22"/>
                <w:szCs w:val="22"/>
              </w:rPr>
              <w:t>are:</w:t>
            </w:r>
          </w:p>
          <w:p w:rsidR="003E479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Increase the proportion of newly-diagnosed individuals linked to clinical HIV care within one month of their HIV diagnosis </w:t>
            </w:r>
            <w:r w:rsidR="003E479B" w:rsidRPr="000733DE">
              <w:rPr>
                <w:sz w:val="22"/>
                <w:szCs w:val="22"/>
              </w:rPr>
              <w:t>to at least 85%</w:t>
            </w:r>
          </w:p>
          <w:p w:rsidR="0063798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Decrease the percentage of new HIV diagnoses with an HIV stage 3 (AIDS) diagnosis within one year by</w:t>
            </w:r>
            <w:r w:rsidR="003E479B" w:rsidRPr="000733DE">
              <w:rPr>
                <w:sz w:val="22"/>
                <w:szCs w:val="22"/>
              </w:rPr>
              <w:t xml:space="preserve"> 25%</w:t>
            </w:r>
          </w:p>
          <w:p w:rsidR="003E479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>Decrease the percentage of new HIV diagnoses with an HIV stage 3 (AIDS) diagnosis within one year among</w:t>
            </w:r>
            <w:r w:rsidR="00BD3C32" w:rsidRPr="000733DE">
              <w:rPr>
                <w:sz w:val="22"/>
                <w:szCs w:val="22"/>
              </w:rPr>
              <w:t xml:space="preserve"> Hispanic and Latino men age 35+ </w:t>
            </w:r>
            <w:r w:rsidRPr="000733DE">
              <w:rPr>
                <w:sz w:val="22"/>
                <w:szCs w:val="22"/>
              </w:rPr>
              <w:t>by</w:t>
            </w:r>
            <w:r w:rsidR="003E479B" w:rsidRPr="000733DE">
              <w:rPr>
                <w:sz w:val="22"/>
                <w:szCs w:val="22"/>
              </w:rPr>
              <w:t xml:space="preserve"> 25%</w:t>
            </w:r>
          </w:p>
          <w:p w:rsidR="0063798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Increase the percentage of Ryan White HIV/AIDS Program clients who are in continuous HIV </w:t>
            </w:r>
            <w:r w:rsidR="003E479B" w:rsidRPr="000733DE">
              <w:rPr>
                <w:sz w:val="22"/>
                <w:szCs w:val="22"/>
              </w:rPr>
              <w:t xml:space="preserve">care </w:t>
            </w:r>
            <w:r w:rsidRPr="000733DE">
              <w:rPr>
                <w:sz w:val="22"/>
                <w:szCs w:val="22"/>
              </w:rPr>
              <w:t>to at least 90.0%</w:t>
            </w:r>
          </w:p>
          <w:p w:rsidR="003E479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Increase the percentage of individuals with diagnosed HIV in the Houston Area who are retained in HIV medical care </w:t>
            </w:r>
            <w:r w:rsidR="003E479B" w:rsidRPr="000733DE">
              <w:rPr>
                <w:sz w:val="22"/>
                <w:szCs w:val="22"/>
              </w:rPr>
              <w:t>to at least 90.0%.</w:t>
            </w:r>
          </w:p>
          <w:p w:rsidR="003E479B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Maintain, and if possible, increase the proportion of Ryan White HIV/AIDS Program clients who are virally suppressed to at least </w:t>
            </w:r>
            <w:r w:rsidR="003E479B" w:rsidRPr="000733DE">
              <w:rPr>
                <w:sz w:val="22"/>
                <w:szCs w:val="22"/>
              </w:rPr>
              <w:t>90.0%</w:t>
            </w:r>
          </w:p>
          <w:p w:rsidR="00BC3ADD" w:rsidRPr="000733DE" w:rsidRDefault="0063798B" w:rsidP="006D6030">
            <w:pPr>
              <w:pStyle w:val="ListParagraph"/>
              <w:numPr>
                <w:ilvl w:val="0"/>
                <w:numId w:val="38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318" w:hanging="270"/>
              <w:rPr>
                <w:sz w:val="22"/>
                <w:szCs w:val="22"/>
              </w:rPr>
            </w:pPr>
            <w:r w:rsidRPr="000733DE">
              <w:rPr>
                <w:sz w:val="22"/>
                <w:szCs w:val="22"/>
              </w:rPr>
              <w:t xml:space="preserve">Increase the percentage of individuals with diagnosed HIV in the Houston Area who are virally suppressed at least 80.0% </w:t>
            </w:r>
          </w:p>
          <w:p w:rsidR="003E479B" w:rsidRDefault="002E1132" w:rsidP="005457E8">
            <w:pPr>
              <w:rPr>
                <w:rFonts w:cs="Arial"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>The plan also includes a special populations focus</w:t>
            </w:r>
            <w:r w:rsidR="005457E8">
              <w:rPr>
                <w:rFonts w:cs="Arial"/>
                <w:sz w:val="22"/>
                <w:szCs w:val="22"/>
              </w:rPr>
              <w:t xml:space="preserve">: </w:t>
            </w:r>
            <w:r w:rsidR="003E479B" w:rsidRPr="005457E8">
              <w:rPr>
                <w:rFonts w:cs="Arial"/>
                <w:sz w:val="22"/>
                <w:szCs w:val="22"/>
              </w:rPr>
              <w:t>Youth (13-24)</w:t>
            </w:r>
            <w:r w:rsidR="005457E8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3E479B" w:rsidRPr="005457E8">
              <w:rPr>
                <w:rFonts w:cs="Arial"/>
                <w:sz w:val="22"/>
                <w:szCs w:val="22"/>
              </w:rPr>
              <w:t>Homeles</w:t>
            </w:r>
            <w:r w:rsidR="005457E8">
              <w:rPr>
                <w:rFonts w:cs="Arial"/>
                <w:sz w:val="22"/>
                <w:szCs w:val="22"/>
              </w:rPr>
              <w:t xml:space="preserve">s, </w:t>
            </w:r>
            <w:r w:rsidR="003E479B" w:rsidRPr="005457E8">
              <w:rPr>
                <w:rFonts w:cs="Arial"/>
                <w:sz w:val="22"/>
                <w:szCs w:val="22"/>
              </w:rPr>
              <w:t>I/RR</w:t>
            </w:r>
            <w:r w:rsidR="005457E8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="003E479B" w:rsidRPr="005457E8">
              <w:rPr>
                <w:rFonts w:cs="Arial"/>
                <w:sz w:val="22"/>
                <w:szCs w:val="22"/>
              </w:rPr>
              <w:t>IDU</w:t>
            </w:r>
            <w:proofErr w:type="spellEnd"/>
            <w:r w:rsidR="005457E8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3E479B" w:rsidRPr="005457E8">
              <w:rPr>
                <w:rFonts w:cs="Arial"/>
                <w:sz w:val="22"/>
                <w:szCs w:val="22"/>
              </w:rPr>
              <w:t>MSM</w:t>
            </w:r>
            <w:r w:rsidR="005457E8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3E479B" w:rsidRPr="005457E8">
              <w:rPr>
                <w:rFonts w:cs="Arial"/>
                <w:sz w:val="22"/>
                <w:szCs w:val="22"/>
              </w:rPr>
              <w:t>Transgender &amp; Gender Non-conforming</w:t>
            </w:r>
            <w:r w:rsidR="005457E8" w:rsidRPr="005457E8">
              <w:rPr>
                <w:rFonts w:cs="Arial"/>
                <w:sz w:val="22"/>
                <w:szCs w:val="22"/>
              </w:rPr>
              <w:t xml:space="preserve">, and </w:t>
            </w:r>
            <w:r w:rsidR="003E479B" w:rsidRPr="005457E8">
              <w:rPr>
                <w:rFonts w:cs="Arial"/>
                <w:sz w:val="22"/>
                <w:szCs w:val="22"/>
              </w:rPr>
              <w:t>Women of Color</w:t>
            </w:r>
          </w:p>
          <w:p w:rsidR="005457E8" w:rsidRPr="005457E8" w:rsidRDefault="005457E8" w:rsidP="005457E8">
            <w:pPr>
              <w:rPr>
                <w:rFonts w:cs="Arial"/>
                <w:b/>
                <w:sz w:val="8"/>
                <w:szCs w:val="8"/>
              </w:rPr>
            </w:pPr>
          </w:p>
          <w:p w:rsidR="00514FEC" w:rsidRPr="000733DE" w:rsidRDefault="00514FEC" w:rsidP="00514FE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Roadmap to Ending the HIV Epidemic in Houston (</w:t>
            </w:r>
            <w:r w:rsidR="00C4541C">
              <w:rPr>
                <w:rFonts w:cs="Arial"/>
                <w:b/>
                <w:sz w:val="22"/>
                <w:szCs w:val="22"/>
              </w:rPr>
              <w:t>2017-2021)</w:t>
            </w:r>
          </w:p>
          <w:p w:rsidR="0026316E" w:rsidRPr="0026316E" w:rsidRDefault="00514FEC" w:rsidP="005457E8">
            <w:pPr>
              <w:rPr>
                <w:rFonts w:cs="Arial"/>
                <w:b/>
                <w:sz w:val="22"/>
                <w:szCs w:val="22"/>
              </w:rPr>
            </w:pPr>
            <w:r w:rsidRPr="000733DE">
              <w:rPr>
                <w:rFonts w:cs="Arial"/>
                <w:sz w:val="22"/>
                <w:szCs w:val="22"/>
              </w:rPr>
              <w:t xml:space="preserve">This document </w:t>
            </w:r>
            <w:r>
              <w:rPr>
                <w:rFonts w:cs="Arial"/>
                <w:sz w:val="22"/>
                <w:szCs w:val="22"/>
              </w:rPr>
              <w:t>offers over 30 recommendations to end the local HIV epidemic by decreasing new diagnoses to 600 per year</w:t>
            </w:r>
            <w:r w:rsidR="005457E8">
              <w:rPr>
                <w:rFonts w:cs="Arial"/>
                <w:sz w:val="22"/>
                <w:szCs w:val="22"/>
              </w:rPr>
              <w:t>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457E8">
              <w:rPr>
                <w:rFonts w:cs="Arial"/>
                <w:sz w:val="22"/>
                <w:szCs w:val="22"/>
              </w:rPr>
              <w:t>increasing the diagnosed proportion to 90%, fostering 90% retention in care, and supporting 90% of diagnosed PLWH in Houston/Harris County to achieve viral suppression.</w:t>
            </w:r>
          </w:p>
        </w:tc>
      </w:tr>
    </w:tbl>
    <w:tbl>
      <w:tblPr>
        <w:tblW w:w="1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469"/>
        <w:gridCol w:w="1620"/>
        <w:gridCol w:w="5636"/>
        <w:gridCol w:w="3060"/>
        <w:gridCol w:w="4140"/>
        <w:gridCol w:w="3420"/>
      </w:tblGrid>
      <w:tr w:rsidR="003539E5" w:rsidRPr="00136CF4" w:rsidTr="006E40DC">
        <w:trPr>
          <w:cantSplit/>
          <w:tblHeader/>
        </w:trPr>
        <w:tc>
          <w:tcPr>
            <w:tcW w:w="14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E37535" w:rsidRDefault="003539E5" w:rsidP="003539E5">
            <w:pPr>
              <w:keepNext/>
              <w:keepLines/>
              <w:suppressLineNumbers/>
              <w:suppressAutoHyphens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E37535">
              <w:rPr>
                <w:rFonts w:cs="Arial"/>
                <w:b/>
                <w:sz w:val="21"/>
                <w:szCs w:val="21"/>
              </w:rPr>
              <w:lastRenderedPageBreak/>
              <w:t>Service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136CF4" w:rsidRDefault="003539E5" w:rsidP="003539E5">
            <w:pPr>
              <w:jc w:val="center"/>
              <w:rPr>
                <w:rFonts w:cs="Arial"/>
                <w:sz w:val="21"/>
                <w:szCs w:val="21"/>
                <w:highlight w:val="yellow"/>
                <w:u w:val="single"/>
              </w:rPr>
            </w:pPr>
            <w:r w:rsidRPr="00E37535">
              <w:rPr>
                <w:rFonts w:cs="Arial"/>
                <w:b/>
                <w:sz w:val="21"/>
                <w:szCs w:val="21"/>
              </w:rPr>
              <w:t>Allocation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9754F5" w:rsidRDefault="003539E5" w:rsidP="003539E5">
            <w:pPr>
              <w:jc w:val="center"/>
              <w:rPr>
                <w:rFonts w:cs="Arial"/>
                <w:sz w:val="21"/>
                <w:szCs w:val="21"/>
              </w:rPr>
            </w:pPr>
            <w:r w:rsidRPr="009754F5">
              <w:rPr>
                <w:rFonts w:cs="Arial"/>
                <w:b/>
                <w:sz w:val="21"/>
                <w:szCs w:val="21"/>
              </w:rPr>
              <w:t>Client Utilization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9754F5" w:rsidRDefault="003539E5" w:rsidP="003539E5">
            <w:pPr>
              <w:jc w:val="center"/>
              <w:rPr>
                <w:rFonts w:cs="Arial"/>
                <w:sz w:val="21"/>
                <w:szCs w:val="21"/>
              </w:rPr>
            </w:pPr>
            <w:r w:rsidRPr="009754F5">
              <w:rPr>
                <w:rFonts w:cs="Arial"/>
                <w:b/>
                <w:sz w:val="21"/>
                <w:szCs w:val="21"/>
              </w:rPr>
              <w:t>Outcomes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9754F5" w:rsidRDefault="003539E5" w:rsidP="003539E5">
            <w:pPr>
              <w:jc w:val="center"/>
              <w:rPr>
                <w:rFonts w:cs="Arial"/>
                <w:sz w:val="21"/>
                <w:szCs w:val="21"/>
              </w:rPr>
            </w:pPr>
            <w:r w:rsidRPr="009754F5">
              <w:rPr>
                <w:rFonts w:cs="Arial"/>
                <w:b/>
                <w:sz w:val="21"/>
                <w:szCs w:val="21"/>
              </w:rPr>
              <w:t>Needs Assessment Data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539E5" w:rsidRPr="009754F5" w:rsidRDefault="003539E5" w:rsidP="003539E5">
            <w:pPr>
              <w:rPr>
                <w:rFonts w:cs="Arial"/>
                <w:b/>
                <w:sz w:val="21"/>
                <w:szCs w:val="21"/>
              </w:rPr>
            </w:pPr>
          </w:p>
          <w:p w:rsidR="003539E5" w:rsidRPr="009754F5" w:rsidRDefault="003539E5" w:rsidP="003539E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754F5">
              <w:rPr>
                <w:rFonts w:cs="Arial"/>
                <w:b/>
                <w:sz w:val="21"/>
                <w:szCs w:val="21"/>
              </w:rPr>
              <w:t>National, State, and Local Priorities</w:t>
            </w:r>
          </w:p>
          <w:p w:rsidR="003539E5" w:rsidRPr="009754F5" w:rsidRDefault="003539E5" w:rsidP="003539E5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807E63" w:rsidRPr="00136CF4" w:rsidTr="006E40DC">
        <w:tblPrEx>
          <w:tblCellMar>
            <w:left w:w="108" w:type="dxa"/>
            <w:right w:w="108" w:type="dxa"/>
          </w:tblCellMar>
        </w:tblPrEx>
        <w:trPr>
          <w:cantSplit/>
          <w:trHeight w:val="8898"/>
        </w:trPr>
        <w:tc>
          <w:tcPr>
            <w:tcW w:w="1469" w:type="dxa"/>
            <w:vAlign w:val="center"/>
          </w:tcPr>
          <w:p w:rsidR="00807E63" w:rsidRPr="007D0D25" w:rsidRDefault="00807E63" w:rsidP="00807E63">
            <w:pPr>
              <w:rPr>
                <w:b/>
                <w:color w:val="000000"/>
                <w:sz w:val="21"/>
                <w:szCs w:val="21"/>
              </w:rPr>
            </w:pPr>
            <w:r w:rsidRPr="007D0D25">
              <w:rPr>
                <w:b/>
                <w:color w:val="000000"/>
                <w:sz w:val="21"/>
                <w:szCs w:val="21"/>
              </w:rPr>
              <w:t xml:space="preserve">Ambulatory Outpatient </w:t>
            </w:r>
          </w:p>
          <w:p w:rsidR="00807E63" w:rsidRPr="007D0D25" w:rsidRDefault="00807E63" w:rsidP="00807E63">
            <w:pPr>
              <w:rPr>
                <w:b/>
                <w:color w:val="000000"/>
                <w:sz w:val="21"/>
                <w:szCs w:val="21"/>
              </w:rPr>
            </w:pPr>
            <w:r w:rsidRPr="007D0D25">
              <w:rPr>
                <w:b/>
                <w:color w:val="000000"/>
                <w:sz w:val="21"/>
                <w:szCs w:val="21"/>
              </w:rPr>
              <w:t>Medical Care</w:t>
            </w:r>
          </w:p>
          <w:p w:rsidR="00807E63" w:rsidRPr="007D0D25" w:rsidRDefault="00807E63" w:rsidP="00807E63">
            <w:pPr>
              <w:rPr>
                <w:rFonts w:cs="Arial"/>
                <w:bCs/>
                <w:szCs w:val="20"/>
              </w:rPr>
            </w:pPr>
            <w:r w:rsidRPr="007D0D25">
              <w:rPr>
                <w:rFonts w:cs="Arial"/>
                <w:bCs/>
                <w:szCs w:val="20"/>
              </w:rPr>
              <w:t>(Adult and Pediatric)</w:t>
            </w:r>
          </w:p>
          <w:p w:rsidR="00807E63" w:rsidRPr="00031E6D" w:rsidRDefault="00807E63" w:rsidP="00DD5983">
            <w:pPr>
              <w:rPr>
                <w:rFonts w:cs="Arial"/>
                <w:bCs/>
                <w:szCs w:val="20"/>
                <w:highlight w:val="yellow"/>
              </w:rPr>
            </w:pPr>
            <w:r w:rsidRPr="007D0D25">
              <w:rPr>
                <w:rFonts w:cs="Arial"/>
                <w:bCs/>
                <w:szCs w:val="20"/>
              </w:rPr>
              <w:t>incl. Vision Care)</w:t>
            </w:r>
          </w:p>
        </w:tc>
        <w:tc>
          <w:tcPr>
            <w:tcW w:w="1620" w:type="dxa"/>
          </w:tcPr>
          <w:p w:rsidR="00807E63" w:rsidRPr="00E37535" w:rsidRDefault="00950ED7" w:rsidP="00807E63">
            <w:pPr>
              <w:rPr>
                <w:rFonts w:cs="Arial"/>
                <w:sz w:val="21"/>
                <w:szCs w:val="21"/>
                <w:u w:val="single"/>
              </w:rPr>
            </w:pPr>
            <w:r w:rsidRPr="00E37535"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5301A218" wp14:editId="00B44AC4">
                  <wp:simplePos x="0" y="0"/>
                  <wp:positionH relativeFrom="column">
                    <wp:posOffset>760494</wp:posOffset>
                  </wp:positionH>
                  <wp:positionV relativeFrom="paragraph">
                    <wp:posOffset>827</wp:posOffset>
                  </wp:positionV>
                  <wp:extent cx="3806456" cy="2498651"/>
                  <wp:effectExtent l="0" t="0" r="3810" b="0"/>
                  <wp:wrapNone/>
                  <wp:docPr id="39" name="Chart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7E63" w:rsidRPr="00E37535">
              <w:rPr>
                <w:rFonts w:cs="Arial"/>
                <w:sz w:val="21"/>
                <w:szCs w:val="21"/>
                <w:u w:val="single"/>
              </w:rPr>
              <w:t xml:space="preserve">Part A: 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FY98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$2,084,928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FY99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$1,231,605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FY00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$1,891,325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FY01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$1,679,294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FY02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$1,941,561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FY03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$1,966,899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FY04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$1,687,404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FY05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$2,319,440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FY06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$3,161,000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FY07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$3,161,000</w:t>
            </w:r>
          </w:p>
          <w:p w:rsidR="00807E63" w:rsidRPr="00E37535" w:rsidRDefault="00807E63" w:rsidP="00807E63">
            <w:pPr>
              <w:rPr>
                <w:rFonts w:cs="Arial"/>
                <w:sz w:val="16"/>
                <w:szCs w:val="16"/>
              </w:rPr>
            </w:pP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  <w:u w:val="single"/>
              </w:rPr>
            </w:pPr>
            <w:r w:rsidRPr="00E37535">
              <w:rPr>
                <w:rFonts w:cs="Arial"/>
                <w:sz w:val="21"/>
                <w:szCs w:val="21"/>
                <w:u w:val="single"/>
              </w:rPr>
              <w:t>Part A/MAI/B: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FY08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$9,214,688</w:t>
            </w:r>
          </w:p>
          <w:p w:rsidR="00807E63" w:rsidRPr="00E37535" w:rsidRDefault="00807E63" w:rsidP="00807E63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FY09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</w:t>
            </w:r>
            <w:r w:rsidRPr="00E37535">
              <w:rPr>
                <w:rFonts w:cs="Arial"/>
                <w:bCs/>
                <w:sz w:val="21"/>
                <w:szCs w:val="21"/>
              </w:rPr>
              <w:t>9,454,433</w:t>
            </w:r>
          </w:p>
          <w:p w:rsidR="00807E63" w:rsidRPr="00E37535" w:rsidRDefault="00807E63" w:rsidP="00807E63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bCs/>
                <w:sz w:val="21"/>
                <w:szCs w:val="21"/>
              </w:rPr>
              <w:t>FY10</w:t>
            </w:r>
            <w:proofErr w:type="spellEnd"/>
            <w:r w:rsidRPr="00E37535">
              <w:rPr>
                <w:rFonts w:cs="Arial"/>
                <w:bCs/>
                <w:sz w:val="21"/>
                <w:szCs w:val="21"/>
              </w:rPr>
              <w:t xml:space="preserve">: $9,510,270 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bCs/>
                <w:sz w:val="21"/>
                <w:szCs w:val="21"/>
              </w:rPr>
              <w:t>FY11</w:t>
            </w:r>
            <w:proofErr w:type="spellEnd"/>
            <w:r w:rsidRPr="00E37535">
              <w:rPr>
                <w:rFonts w:cs="Arial"/>
                <w:bCs/>
                <w:sz w:val="21"/>
                <w:szCs w:val="21"/>
              </w:rPr>
              <w:t>: $9,964,057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FY12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$9,941,410</w:t>
            </w: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FY13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$11,043,672</w:t>
            </w:r>
          </w:p>
          <w:p w:rsidR="00221D34" w:rsidRPr="00E37535" w:rsidRDefault="00221D34" w:rsidP="00807E63">
            <w:pPr>
              <w:rPr>
                <w:rFonts w:cs="Arial"/>
                <w:sz w:val="21"/>
                <w:szCs w:val="21"/>
              </w:rPr>
            </w:pPr>
            <w:proofErr w:type="spellStart"/>
            <w:r w:rsidRPr="00E37535">
              <w:rPr>
                <w:rFonts w:cs="Arial"/>
                <w:sz w:val="21"/>
                <w:szCs w:val="21"/>
              </w:rPr>
              <w:t>FY14</w:t>
            </w:r>
            <w:proofErr w:type="spellEnd"/>
            <w:r w:rsidRPr="00E37535">
              <w:rPr>
                <w:rFonts w:cs="Arial"/>
                <w:sz w:val="21"/>
                <w:szCs w:val="21"/>
              </w:rPr>
              <w:t>: $10,656,734</w:t>
            </w:r>
          </w:p>
          <w:p w:rsidR="00F36F1B" w:rsidRPr="00E37535" w:rsidRDefault="00F36F1B" w:rsidP="00807E63">
            <w:pPr>
              <w:rPr>
                <w:rFonts w:cs="Arial"/>
                <w:sz w:val="21"/>
                <w:szCs w:val="21"/>
              </w:rPr>
            </w:pPr>
          </w:p>
          <w:p w:rsidR="00042C38" w:rsidRPr="00E37535" w:rsidRDefault="00042C38" w:rsidP="00807E63">
            <w:pPr>
              <w:rPr>
                <w:rFonts w:cs="Arial"/>
                <w:sz w:val="21"/>
                <w:szCs w:val="21"/>
                <w:u w:val="single"/>
              </w:rPr>
            </w:pPr>
            <w:r w:rsidRPr="00E37535">
              <w:rPr>
                <w:rFonts w:cs="Arial"/>
                <w:sz w:val="21"/>
                <w:szCs w:val="21"/>
                <w:u w:val="single"/>
              </w:rPr>
              <w:t>Part A/MAI:</w:t>
            </w:r>
          </w:p>
          <w:p w:rsidR="00042C38" w:rsidRPr="00E37535" w:rsidRDefault="00042C38" w:rsidP="00807E63">
            <w:pPr>
              <w:rPr>
                <w:rFonts w:cs="Arial"/>
                <w:bCs/>
                <w:sz w:val="21"/>
                <w:szCs w:val="21"/>
              </w:rPr>
            </w:pPr>
            <w:r w:rsidRPr="00E37535">
              <w:rPr>
                <w:rFonts w:cs="Arial"/>
                <w:sz w:val="21"/>
                <w:szCs w:val="21"/>
              </w:rPr>
              <w:t>FY15: $</w:t>
            </w:r>
            <w:r w:rsidRPr="00E37535">
              <w:rPr>
                <w:rFonts w:cs="Arial"/>
                <w:bCs/>
                <w:sz w:val="21"/>
                <w:szCs w:val="21"/>
              </w:rPr>
              <w:t>11,181,410</w:t>
            </w:r>
          </w:p>
          <w:p w:rsidR="002728AF" w:rsidRPr="00E37535" w:rsidRDefault="00BE035A" w:rsidP="00807E63">
            <w:pPr>
              <w:rPr>
                <w:rFonts w:cs="Arial"/>
                <w:sz w:val="21"/>
                <w:szCs w:val="21"/>
              </w:rPr>
            </w:pPr>
            <w:r w:rsidRPr="00E37535">
              <w:rPr>
                <w:rFonts w:cs="Arial"/>
                <w:sz w:val="21"/>
                <w:szCs w:val="21"/>
              </w:rPr>
              <w:t>FY</w:t>
            </w:r>
            <w:r w:rsidR="002728AF" w:rsidRPr="00E37535">
              <w:rPr>
                <w:rFonts w:cs="Arial"/>
                <w:sz w:val="21"/>
                <w:szCs w:val="21"/>
              </w:rPr>
              <w:t>16: $11,757,561</w:t>
            </w:r>
          </w:p>
          <w:p w:rsidR="00BE035A" w:rsidRPr="00E37535" w:rsidRDefault="00BE035A" w:rsidP="00BE035A">
            <w:pPr>
              <w:rPr>
                <w:rFonts w:cs="Arial"/>
                <w:sz w:val="21"/>
                <w:szCs w:val="21"/>
              </w:rPr>
            </w:pPr>
            <w:r w:rsidRPr="00E37535">
              <w:rPr>
                <w:rFonts w:cs="Arial"/>
                <w:sz w:val="21"/>
                <w:szCs w:val="21"/>
              </w:rPr>
              <w:t>FY17: $11,853,686</w:t>
            </w:r>
          </w:p>
          <w:p w:rsidR="00F327A8" w:rsidRPr="00E37535" w:rsidRDefault="00F327A8" w:rsidP="00F327A8">
            <w:pPr>
              <w:rPr>
                <w:rFonts w:cs="Arial"/>
                <w:sz w:val="21"/>
                <w:szCs w:val="21"/>
              </w:rPr>
            </w:pPr>
            <w:r w:rsidRPr="00E37535">
              <w:rPr>
                <w:rFonts w:cs="Arial"/>
                <w:sz w:val="21"/>
                <w:szCs w:val="21"/>
              </w:rPr>
              <w:t>FY18: $11,432,200</w:t>
            </w:r>
          </w:p>
          <w:p w:rsidR="00BE035A" w:rsidRPr="00E37535" w:rsidRDefault="00BE035A" w:rsidP="00807E63">
            <w:pPr>
              <w:rPr>
                <w:rFonts w:cs="Arial"/>
                <w:sz w:val="21"/>
                <w:szCs w:val="21"/>
              </w:rPr>
            </w:pPr>
          </w:p>
          <w:p w:rsidR="00807E63" w:rsidRPr="00E37535" w:rsidRDefault="00807E63" w:rsidP="00807E63">
            <w:pPr>
              <w:rPr>
                <w:rFonts w:cs="Arial"/>
                <w:sz w:val="21"/>
                <w:szCs w:val="21"/>
                <w:u w:val="single"/>
              </w:rPr>
            </w:pPr>
          </w:p>
          <w:p w:rsidR="002728AF" w:rsidRPr="00E37535" w:rsidRDefault="002728AF" w:rsidP="002728AF">
            <w:pPr>
              <w:rPr>
                <w:rFonts w:cs="Arial"/>
                <w:sz w:val="14"/>
                <w:szCs w:val="14"/>
              </w:rPr>
            </w:pPr>
            <w:r w:rsidRPr="00E37535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E37535">
              <w:rPr>
                <w:rFonts w:cs="Arial"/>
                <w:sz w:val="14"/>
                <w:szCs w:val="14"/>
              </w:rPr>
              <w:t xml:space="preserve">: </w:t>
            </w:r>
          </w:p>
          <w:p w:rsidR="00042C38" w:rsidRPr="00E37535" w:rsidRDefault="00F327A8" w:rsidP="00E37535">
            <w:pPr>
              <w:rPr>
                <w:rFonts w:cs="Arial"/>
                <w:sz w:val="14"/>
                <w:szCs w:val="14"/>
              </w:rPr>
            </w:pPr>
            <w:r w:rsidRPr="00E37535">
              <w:rPr>
                <w:rFonts w:cs="Arial"/>
                <w:sz w:val="14"/>
                <w:szCs w:val="14"/>
              </w:rPr>
              <w:t>FY 2018</w:t>
            </w:r>
            <w:r w:rsidR="002728AF" w:rsidRPr="00E37535">
              <w:rPr>
                <w:rFonts w:cs="Arial"/>
                <w:sz w:val="14"/>
                <w:szCs w:val="14"/>
              </w:rPr>
              <w:t xml:space="preserve"> Allocations - Level </w:t>
            </w:r>
            <w:r w:rsidR="00C05EE3" w:rsidRPr="00E37535">
              <w:rPr>
                <w:rFonts w:cs="Arial"/>
                <w:sz w:val="14"/>
                <w:szCs w:val="14"/>
              </w:rPr>
              <w:t xml:space="preserve">Funding Scenario Based </w:t>
            </w:r>
            <w:r w:rsidRPr="00E37535">
              <w:rPr>
                <w:rFonts w:cs="Arial"/>
                <w:sz w:val="14"/>
                <w:szCs w:val="14"/>
              </w:rPr>
              <w:t xml:space="preserve"> - Approved</w:t>
            </w:r>
            <w:r w:rsidR="00E37535">
              <w:rPr>
                <w:rFonts w:cs="Arial"/>
                <w:sz w:val="14"/>
                <w:szCs w:val="14"/>
              </w:rPr>
              <w:t xml:space="preserve"> 07/13</w:t>
            </w:r>
            <w:r w:rsidR="002728AF" w:rsidRPr="00E37535">
              <w:rPr>
                <w:rFonts w:cs="Arial"/>
                <w:sz w:val="14"/>
                <w:szCs w:val="14"/>
              </w:rPr>
              <w:t>/1</w:t>
            </w:r>
            <w:r w:rsidR="00E37535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5636" w:type="dxa"/>
          </w:tcPr>
          <w:p w:rsidR="00807E63" w:rsidRPr="00136CF4" w:rsidRDefault="00807E63" w:rsidP="00807E63">
            <w:pPr>
              <w:ind w:left="-29"/>
              <w:jc w:val="both"/>
              <w:rPr>
                <w:rFonts w:cs="Arial"/>
                <w:sz w:val="21"/>
                <w:szCs w:val="21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3C081C" w:rsidRPr="00136CF4" w:rsidRDefault="003C081C" w:rsidP="00807E63">
            <w:pPr>
              <w:ind w:left="1231" w:right="88"/>
              <w:jc w:val="right"/>
              <w:rPr>
                <w:sz w:val="14"/>
                <w:szCs w:val="14"/>
                <w:highlight w:val="yellow"/>
              </w:rPr>
            </w:pPr>
          </w:p>
          <w:p w:rsidR="00807E63" w:rsidRPr="00D87BF8" w:rsidRDefault="0096244B" w:rsidP="00807E63">
            <w:pPr>
              <w:rPr>
                <w:rFonts w:cs="Arial"/>
                <w:sz w:val="14"/>
                <w:szCs w:val="14"/>
              </w:rPr>
            </w:pPr>
            <w:r w:rsidRPr="00D87BF8">
              <w:rPr>
                <w:rFonts w:cs="Arial"/>
                <w:sz w:val="14"/>
                <w:szCs w:val="14"/>
                <w:u w:val="single"/>
              </w:rPr>
              <w:t>Sou</w:t>
            </w:r>
            <w:r w:rsidR="00807E63" w:rsidRPr="00D87BF8">
              <w:rPr>
                <w:rFonts w:cs="Arial"/>
                <w:sz w:val="14"/>
                <w:szCs w:val="14"/>
                <w:u w:val="single"/>
              </w:rPr>
              <w:t>rce</w:t>
            </w:r>
            <w:r w:rsidR="00807E63" w:rsidRPr="00D87BF8">
              <w:rPr>
                <w:rFonts w:cs="Arial"/>
                <w:sz w:val="14"/>
                <w:szCs w:val="14"/>
              </w:rPr>
              <w:t xml:space="preserve">: </w:t>
            </w:r>
          </w:p>
          <w:p w:rsidR="00807E63" w:rsidRPr="00136CF4" w:rsidRDefault="00807E63" w:rsidP="00D87BF8">
            <w:pPr>
              <w:pStyle w:val="Default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 w:rsidRPr="00D87BF8">
              <w:rPr>
                <w:rFonts w:ascii="Arial Narrow" w:hAnsi="Arial Narrow" w:cs="Arial"/>
                <w:sz w:val="14"/>
                <w:szCs w:val="14"/>
              </w:rPr>
              <w:t>R</w:t>
            </w:r>
            <w:r w:rsidR="0096244B" w:rsidRPr="00D87BF8">
              <w:rPr>
                <w:rFonts w:ascii="Arial Narrow" w:hAnsi="Arial Narrow" w:cs="Arial"/>
                <w:sz w:val="14"/>
                <w:szCs w:val="14"/>
              </w:rPr>
              <w:t>WGA and The Resource Group, 4/2</w:t>
            </w:r>
            <w:r w:rsidR="00D87BF8" w:rsidRPr="00D87BF8">
              <w:rPr>
                <w:rFonts w:ascii="Arial Narrow" w:hAnsi="Arial Narrow" w:cs="Arial"/>
                <w:sz w:val="14"/>
                <w:szCs w:val="14"/>
              </w:rPr>
              <w:t>3</w:t>
            </w:r>
            <w:r w:rsidR="00393F7E" w:rsidRPr="00D87BF8">
              <w:rPr>
                <w:rFonts w:ascii="Arial Narrow" w:hAnsi="Arial Narrow" w:cs="Arial"/>
                <w:sz w:val="14"/>
                <w:szCs w:val="14"/>
              </w:rPr>
              <w:t>/1</w:t>
            </w:r>
            <w:r w:rsidR="00D87BF8" w:rsidRPr="00D87BF8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3060" w:type="dxa"/>
          </w:tcPr>
          <w:p w:rsidR="00807E63" w:rsidRPr="006B3C83" w:rsidRDefault="00807E63" w:rsidP="00807E63">
            <w:pPr>
              <w:rPr>
                <w:rFonts w:cs="Arial"/>
                <w:szCs w:val="21"/>
              </w:rPr>
            </w:pPr>
            <w:r w:rsidRPr="006B3C83">
              <w:rPr>
                <w:rFonts w:cs="Arial"/>
                <w:szCs w:val="21"/>
                <w:u w:val="single"/>
              </w:rPr>
              <w:t xml:space="preserve">Primary </w:t>
            </w:r>
            <w:proofErr w:type="spellStart"/>
            <w:r w:rsidRPr="006B3C83">
              <w:rPr>
                <w:rFonts w:cs="Arial"/>
                <w:szCs w:val="21"/>
                <w:u w:val="single"/>
              </w:rPr>
              <w:t>Care</w:t>
            </w:r>
            <w:r w:rsidR="001B3FFB" w:rsidRPr="006B3C83">
              <w:rPr>
                <w:rFonts w:cs="Arial"/>
                <w:szCs w:val="21"/>
                <w:u w:val="single"/>
                <w:vertAlign w:val="superscript"/>
              </w:rPr>
              <w:t>a</w:t>
            </w:r>
            <w:proofErr w:type="spellEnd"/>
            <w:r w:rsidRPr="006B3C83">
              <w:rPr>
                <w:rFonts w:cs="Arial"/>
                <w:szCs w:val="21"/>
              </w:rPr>
              <w:t>:</w:t>
            </w:r>
          </w:p>
          <w:p w:rsidR="00CE6938" w:rsidRPr="00016C6F" w:rsidRDefault="00CE6938" w:rsidP="006D6030">
            <w:pPr>
              <w:pStyle w:val="ListParagraph"/>
              <w:numPr>
                <w:ilvl w:val="0"/>
                <w:numId w:val="14"/>
              </w:numPr>
              <w:ind w:left="225" w:hanging="225"/>
              <w:rPr>
                <w:rFonts w:cs="Arial"/>
                <w:sz w:val="21"/>
                <w:szCs w:val="21"/>
              </w:rPr>
            </w:pPr>
            <w:r w:rsidRPr="00455CF8">
              <w:rPr>
                <w:rFonts w:cs="Arial"/>
                <w:sz w:val="21"/>
                <w:szCs w:val="21"/>
              </w:rPr>
              <w:t xml:space="preserve">Following Primary Care, </w:t>
            </w:r>
            <w:r w:rsidR="00455CF8" w:rsidRPr="00455CF8">
              <w:rPr>
                <w:rFonts w:cs="Arial"/>
                <w:sz w:val="21"/>
                <w:szCs w:val="21"/>
              </w:rPr>
              <w:t>75</w:t>
            </w:r>
            <w:r w:rsidRPr="00455CF8">
              <w:rPr>
                <w:rFonts w:cs="Arial"/>
                <w:sz w:val="21"/>
                <w:szCs w:val="21"/>
              </w:rPr>
              <w:t xml:space="preserve">% of clients were in continuous HIV care (i.e., two or more primary care visits at least three months </w:t>
            </w:r>
            <w:r w:rsidRPr="00016C6F">
              <w:rPr>
                <w:rFonts w:cs="Arial"/>
                <w:sz w:val="21"/>
                <w:szCs w:val="21"/>
              </w:rPr>
              <w:t>apart).</w:t>
            </w:r>
            <w:r w:rsidRPr="00016C6F">
              <w:rPr>
                <w:rFonts w:cs="Arial"/>
                <w:sz w:val="21"/>
                <w:szCs w:val="21"/>
                <w:vertAlign w:val="superscript"/>
              </w:rPr>
              <w:t>a</w:t>
            </w:r>
          </w:p>
          <w:p w:rsidR="00807E63" w:rsidRPr="00016C6F" w:rsidRDefault="00455CF8" w:rsidP="006D6030">
            <w:pPr>
              <w:pStyle w:val="ListParagraph"/>
              <w:numPr>
                <w:ilvl w:val="0"/>
                <w:numId w:val="14"/>
              </w:numPr>
              <w:ind w:left="225" w:hanging="225"/>
              <w:rPr>
                <w:rFonts w:cs="Arial"/>
                <w:szCs w:val="21"/>
              </w:rPr>
            </w:pPr>
            <w:r w:rsidRPr="00016C6F">
              <w:rPr>
                <w:rFonts w:cs="Arial"/>
                <w:szCs w:val="21"/>
              </w:rPr>
              <w:t>18</w:t>
            </w:r>
            <w:r w:rsidR="00807E63" w:rsidRPr="00016C6F">
              <w:rPr>
                <w:rFonts w:cs="Arial"/>
                <w:szCs w:val="21"/>
              </w:rPr>
              <w:t xml:space="preserve">% of primary care clients </w:t>
            </w:r>
            <w:r w:rsidR="001B3FFB" w:rsidRPr="00016C6F">
              <w:rPr>
                <w:rFonts w:cs="Arial"/>
                <w:szCs w:val="21"/>
              </w:rPr>
              <w:t xml:space="preserve">had CD-4 &lt; 200 within 90 days of enrollment in primary </w:t>
            </w:r>
            <w:proofErr w:type="spellStart"/>
            <w:r w:rsidR="001B3FFB" w:rsidRPr="00016C6F">
              <w:rPr>
                <w:rFonts w:cs="Arial"/>
                <w:szCs w:val="21"/>
              </w:rPr>
              <w:t>care</w:t>
            </w:r>
            <w:r w:rsidR="00807E63" w:rsidRPr="00016C6F">
              <w:rPr>
                <w:rFonts w:cs="Arial"/>
                <w:szCs w:val="21"/>
              </w:rPr>
              <w:t>.</w:t>
            </w:r>
            <w:r w:rsidR="00807E63" w:rsidRPr="00016C6F">
              <w:rPr>
                <w:rFonts w:cs="Arial"/>
                <w:szCs w:val="21"/>
                <w:vertAlign w:val="superscript"/>
              </w:rPr>
              <w:t>a</w:t>
            </w:r>
            <w:proofErr w:type="spellEnd"/>
          </w:p>
          <w:p w:rsidR="00807E63" w:rsidRPr="00555FCA" w:rsidRDefault="00455CF8" w:rsidP="006D6030">
            <w:pPr>
              <w:pStyle w:val="ListParagraph"/>
              <w:numPr>
                <w:ilvl w:val="0"/>
                <w:numId w:val="14"/>
              </w:numPr>
              <w:ind w:left="225" w:hanging="225"/>
              <w:rPr>
                <w:rFonts w:cs="Arial"/>
                <w:szCs w:val="21"/>
              </w:rPr>
            </w:pPr>
            <w:r w:rsidRPr="00016C6F">
              <w:rPr>
                <w:rFonts w:cs="Arial"/>
                <w:szCs w:val="21"/>
              </w:rPr>
              <w:t>71</w:t>
            </w:r>
            <w:r w:rsidR="00807E63" w:rsidRPr="00555FCA">
              <w:rPr>
                <w:rFonts w:cs="Arial"/>
                <w:szCs w:val="21"/>
              </w:rPr>
              <w:t>%</w:t>
            </w:r>
            <w:r w:rsidR="001B3FFB" w:rsidRPr="00555FCA">
              <w:rPr>
                <w:rFonts w:cs="Arial"/>
                <w:szCs w:val="21"/>
              </w:rPr>
              <w:t xml:space="preserve"> of primary care clients were virally </w:t>
            </w:r>
            <w:proofErr w:type="spellStart"/>
            <w:r w:rsidR="001B3FFB" w:rsidRPr="00555FCA">
              <w:rPr>
                <w:rFonts w:cs="Arial"/>
                <w:szCs w:val="21"/>
              </w:rPr>
              <w:t>suppressed</w:t>
            </w:r>
            <w:r w:rsidR="00807E63" w:rsidRPr="00555FCA">
              <w:rPr>
                <w:rFonts w:cs="Arial"/>
                <w:szCs w:val="21"/>
              </w:rPr>
              <w:t>.</w:t>
            </w:r>
            <w:r w:rsidRPr="00555FCA">
              <w:rPr>
                <w:rFonts w:cs="Arial"/>
                <w:szCs w:val="21"/>
                <w:vertAlign w:val="superscript"/>
              </w:rPr>
              <w:t>a</w:t>
            </w:r>
            <w:proofErr w:type="spellEnd"/>
          </w:p>
          <w:p w:rsidR="00807E63" w:rsidRPr="00555FCA" w:rsidRDefault="00016C6F" w:rsidP="006D6030">
            <w:pPr>
              <w:pStyle w:val="ListParagraph"/>
              <w:numPr>
                <w:ilvl w:val="0"/>
                <w:numId w:val="14"/>
              </w:numPr>
              <w:ind w:left="225" w:hanging="225"/>
              <w:rPr>
                <w:rFonts w:cs="Arial"/>
                <w:szCs w:val="21"/>
              </w:rPr>
            </w:pPr>
            <w:r w:rsidRPr="00555FCA">
              <w:rPr>
                <w:rFonts w:cs="Arial"/>
                <w:szCs w:val="21"/>
              </w:rPr>
              <w:t>T</w:t>
            </w:r>
            <w:r w:rsidR="00555FCA" w:rsidRPr="00555FCA">
              <w:rPr>
                <w:rFonts w:cs="Arial"/>
                <w:szCs w:val="21"/>
              </w:rPr>
              <w:t>here was 3</w:t>
            </w:r>
            <w:r w:rsidR="001B3FFB" w:rsidRPr="00555FCA">
              <w:rPr>
                <w:rFonts w:cs="Arial"/>
                <w:szCs w:val="21"/>
              </w:rPr>
              <w:t xml:space="preserve"> </w:t>
            </w:r>
            <w:r w:rsidR="00EA3C8D" w:rsidRPr="00555FCA">
              <w:rPr>
                <w:rFonts w:cs="Arial"/>
                <w:szCs w:val="21"/>
              </w:rPr>
              <w:t>percentage point variability between race</w:t>
            </w:r>
            <w:r w:rsidR="00807E63" w:rsidRPr="00555FCA">
              <w:rPr>
                <w:rFonts w:cs="Arial"/>
                <w:szCs w:val="21"/>
              </w:rPr>
              <w:t>/ethnic</w:t>
            </w:r>
            <w:r w:rsidR="00EA3C8D" w:rsidRPr="00555FCA">
              <w:rPr>
                <w:rFonts w:cs="Arial"/>
                <w:szCs w:val="21"/>
              </w:rPr>
              <w:t>ity</w:t>
            </w:r>
            <w:r w:rsidR="00004710" w:rsidRPr="00555FCA">
              <w:rPr>
                <w:rFonts w:cs="Arial"/>
                <w:szCs w:val="21"/>
              </w:rPr>
              <w:t xml:space="preserve"> categories for ART prescription and</w:t>
            </w:r>
            <w:r w:rsidR="00807E63" w:rsidRPr="00555FCA">
              <w:rPr>
                <w:rFonts w:cs="Arial"/>
                <w:szCs w:val="21"/>
              </w:rPr>
              <w:t xml:space="preserve"> </w:t>
            </w:r>
            <w:r w:rsidR="00555FCA" w:rsidRPr="00555FCA">
              <w:rPr>
                <w:rFonts w:cs="Arial"/>
                <w:szCs w:val="21"/>
              </w:rPr>
              <w:t>5 percentage point variability</w:t>
            </w:r>
            <w:r w:rsidR="001A605C" w:rsidRPr="00555FCA">
              <w:rPr>
                <w:rFonts w:cs="Arial"/>
                <w:szCs w:val="21"/>
              </w:rPr>
              <w:t xml:space="preserve"> for </w:t>
            </w:r>
            <w:r w:rsidR="00EA3C8D" w:rsidRPr="00555FCA">
              <w:rPr>
                <w:rFonts w:cs="Arial"/>
                <w:szCs w:val="21"/>
              </w:rPr>
              <w:t xml:space="preserve">viral </w:t>
            </w:r>
            <w:proofErr w:type="spellStart"/>
            <w:r w:rsidR="00EA3C8D" w:rsidRPr="00555FCA">
              <w:rPr>
                <w:rFonts w:cs="Arial"/>
                <w:szCs w:val="21"/>
              </w:rPr>
              <w:t>suppression</w:t>
            </w:r>
            <w:r w:rsidR="00807E63" w:rsidRPr="00555FCA">
              <w:rPr>
                <w:rFonts w:cs="Arial"/>
                <w:szCs w:val="21"/>
              </w:rPr>
              <w:t>.</w:t>
            </w:r>
            <w:r w:rsidR="00807E63" w:rsidRPr="00555FCA">
              <w:rPr>
                <w:rFonts w:cs="Arial"/>
                <w:szCs w:val="21"/>
                <w:vertAlign w:val="superscript"/>
              </w:rPr>
              <w:t>b</w:t>
            </w:r>
            <w:proofErr w:type="spellEnd"/>
            <w:r w:rsidR="00807E63" w:rsidRPr="00555FCA">
              <w:rPr>
                <w:rFonts w:cs="Arial"/>
                <w:szCs w:val="21"/>
              </w:rPr>
              <w:t xml:space="preserve"> </w:t>
            </w:r>
          </w:p>
          <w:p w:rsidR="00807E63" w:rsidRPr="006B3C83" w:rsidRDefault="00807E63" w:rsidP="00807E63">
            <w:pPr>
              <w:rPr>
                <w:rFonts w:cs="Arial"/>
                <w:sz w:val="8"/>
                <w:szCs w:val="16"/>
                <w:highlight w:val="yellow"/>
              </w:rPr>
            </w:pPr>
          </w:p>
          <w:p w:rsidR="00807E63" w:rsidRPr="00046BA8" w:rsidRDefault="00807E63" w:rsidP="00807E63">
            <w:pPr>
              <w:rPr>
                <w:rFonts w:cs="Arial"/>
                <w:szCs w:val="21"/>
              </w:rPr>
            </w:pPr>
            <w:r w:rsidRPr="00046BA8">
              <w:rPr>
                <w:rFonts w:cs="Arial"/>
                <w:szCs w:val="21"/>
                <w:u w:val="single"/>
              </w:rPr>
              <w:t>Vision Care</w:t>
            </w:r>
            <w:r w:rsidRPr="00046BA8">
              <w:rPr>
                <w:rFonts w:cs="Arial"/>
                <w:szCs w:val="21"/>
              </w:rPr>
              <w:t>:</w:t>
            </w:r>
          </w:p>
          <w:p w:rsidR="00807E63" w:rsidRPr="00046BA8" w:rsidRDefault="00D71516" w:rsidP="006D6030">
            <w:pPr>
              <w:pStyle w:val="ListParagraph"/>
              <w:numPr>
                <w:ilvl w:val="0"/>
                <w:numId w:val="37"/>
              </w:numPr>
              <w:ind w:left="189" w:hanging="180"/>
              <w:rPr>
                <w:rFonts w:cs="Arial"/>
                <w:szCs w:val="21"/>
              </w:rPr>
            </w:pPr>
            <w:r w:rsidRPr="00046BA8">
              <w:rPr>
                <w:rFonts w:cs="Arial"/>
                <w:szCs w:val="21"/>
              </w:rPr>
              <w:t>1</w:t>
            </w:r>
            <w:r w:rsidR="00046BA8" w:rsidRPr="00046BA8">
              <w:rPr>
                <w:rFonts w:cs="Arial"/>
                <w:szCs w:val="21"/>
              </w:rPr>
              <w:t>3</w:t>
            </w:r>
            <w:r w:rsidR="00807E63" w:rsidRPr="00046BA8">
              <w:rPr>
                <w:rFonts w:cs="Arial"/>
                <w:szCs w:val="21"/>
              </w:rPr>
              <w:t xml:space="preserve"> diagnoses were reported f</w:t>
            </w:r>
            <w:r w:rsidR="001C6E13" w:rsidRPr="00046BA8">
              <w:rPr>
                <w:rFonts w:cs="Arial"/>
                <w:szCs w:val="21"/>
              </w:rPr>
              <w:t xml:space="preserve">or HIV-related ocular disorders, all of which were managed </w:t>
            </w:r>
            <w:proofErr w:type="spellStart"/>
            <w:r w:rsidR="001C6E13" w:rsidRPr="00046BA8">
              <w:rPr>
                <w:rFonts w:cs="Arial"/>
                <w:szCs w:val="21"/>
              </w:rPr>
              <w:t>appropriately.</w:t>
            </w:r>
            <w:r w:rsidR="00696059" w:rsidRPr="00046BA8">
              <w:rPr>
                <w:rFonts w:cs="Arial"/>
                <w:szCs w:val="21"/>
                <w:vertAlign w:val="superscript"/>
              </w:rPr>
              <w:t>c</w:t>
            </w:r>
            <w:proofErr w:type="spellEnd"/>
          </w:p>
          <w:p w:rsidR="00046BA8" w:rsidRPr="00B755E0" w:rsidRDefault="00046BA8" w:rsidP="00046BA8">
            <w:pPr>
              <w:pStyle w:val="ListParagraph"/>
              <w:numPr>
                <w:ilvl w:val="0"/>
                <w:numId w:val="37"/>
              </w:numPr>
              <w:ind w:left="189" w:hanging="18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95% of client records reviewed contained documentation of new prescription for </w:t>
            </w:r>
            <w:r w:rsidRPr="00B755E0">
              <w:rPr>
                <w:rFonts w:cs="Arial"/>
                <w:szCs w:val="21"/>
              </w:rPr>
              <w:t xml:space="preserve">lenses at the agency with the </w:t>
            </w:r>
            <w:proofErr w:type="spellStart"/>
            <w:r w:rsidRPr="00B755E0">
              <w:rPr>
                <w:rFonts w:cs="Arial"/>
                <w:szCs w:val="21"/>
              </w:rPr>
              <w:t>year.</w:t>
            </w:r>
            <w:r w:rsidRPr="00B755E0">
              <w:rPr>
                <w:rFonts w:cs="Arial"/>
                <w:szCs w:val="21"/>
                <w:vertAlign w:val="superscript"/>
              </w:rPr>
              <w:t>c</w:t>
            </w:r>
            <w:proofErr w:type="spellEnd"/>
          </w:p>
          <w:p w:rsidR="00807E63" w:rsidRPr="00B755E0" w:rsidRDefault="00807E63" w:rsidP="006D6030">
            <w:pPr>
              <w:pStyle w:val="ListParagraph"/>
              <w:numPr>
                <w:ilvl w:val="0"/>
                <w:numId w:val="14"/>
              </w:numPr>
              <w:ind w:left="189" w:hanging="189"/>
              <w:rPr>
                <w:rFonts w:cs="Arial"/>
                <w:sz w:val="21"/>
                <w:szCs w:val="21"/>
              </w:rPr>
            </w:pPr>
            <w:r w:rsidRPr="00B755E0">
              <w:rPr>
                <w:rFonts w:cs="Arial"/>
                <w:szCs w:val="21"/>
              </w:rPr>
              <w:t xml:space="preserve">Overall performance rates of vision care providers have remained </w:t>
            </w:r>
            <w:proofErr w:type="spellStart"/>
            <w:r w:rsidRPr="00B755E0">
              <w:rPr>
                <w:rFonts w:cs="Arial"/>
                <w:szCs w:val="21"/>
              </w:rPr>
              <w:t>high</w:t>
            </w:r>
            <w:r w:rsidR="00F451D1" w:rsidRPr="00B755E0">
              <w:t>.</w:t>
            </w:r>
            <w:r w:rsidR="00696059" w:rsidRPr="00B755E0">
              <w:rPr>
                <w:rFonts w:cs="Arial"/>
                <w:szCs w:val="21"/>
                <w:vertAlign w:val="superscript"/>
              </w:rPr>
              <w:t>c</w:t>
            </w:r>
            <w:proofErr w:type="spellEnd"/>
          </w:p>
          <w:p w:rsidR="00807E63" w:rsidRPr="00B755E0" w:rsidRDefault="00807E63" w:rsidP="00807E63">
            <w:pPr>
              <w:pStyle w:val="ListParagraph"/>
              <w:ind w:left="241"/>
              <w:rPr>
                <w:rFonts w:cs="Arial"/>
                <w:sz w:val="8"/>
                <w:szCs w:val="21"/>
              </w:rPr>
            </w:pPr>
          </w:p>
          <w:p w:rsidR="00807E63" w:rsidRPr="00B755E0" w:rsidRDefault="00807E63" w:rsidP="00807E63">
            <w:pPr>
              <w:rPr>
                <w:rFonts w:cs="Arial"/>
                <w:sz w:val="14"/>
                <w:szCs w:val="14"/>
              </w:rPr>
            </w:pPr>
            <w:r w:rsidRPr="00B755E0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B755E0">
              <w:rPr>
                <w:rFonts w:cs="Arial"/>
                <w:sz w:val="14"/>
                <w:szCs w:val="14"/>
              </w:rPr>
              <w:t xml:space="preserve">: </w:t>
            </w:r>
          </w:p>
          <w:p w:rsidR="00807E63" w:rsidRPr="00B755E0" w:rsidRDefault="00807E63" w:rsidP="00807E63">
            <w:pPr>
              <w:pStyle w:val="Default"/>
              <w:rPr>
                <w:rFonts w:ascii="Arial Narrow" w:hAnsi="Arial Narrow" w:cs="Arial"/>
                <w:sz w:val="14"/>
                <w:szCs w:val="14"/>
              </w:rPr>
            </w:pPr>
            <w:r w:rsidRPr="00B755E0">
              <w:rPr>
                <w:rFonts w:ascii="Arial Narrow" w:hAnsi="Arial Narrow" w:cs="Arial"/>
                <w:sz w:val="14"/>
                <w:szCs w:val="14"/>
                <w:vertAlign w:val="superscript"/>
              </w:rPr>
              <w:t>a</w:t>
            </w:r>
            <w:r w:rsidR="005D1BA6" w:rsidRPr="00B755E0">
              <w:rPr>
                <w:rFonts w:ascii="Arial Narrow" w:hAnsi="Arial Narrow" w:cs="Arial"/>
                <w:sz w:val="14"/>
                <w:szCs w:val="14"/>
              </w:rPr>
              <w:t xml:space="preserve"> RWGA FY 2016</w:t>
            </w:r>
            <w:r w:rsidR="00CE6938" w:rsidRPr="00B755E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1B3FFB" w:rsidRPr="00B755E0">
              <w:rPr>
                <w:rFonts w:ascii="Arial Narrow" w:hAnsi="Arial Narrow" w:cs="Arial"/>
                <w:sz w:val="14"/>
                <w:szCs w:val="14"/>
              </w:rPr>
              <w:t>Highlights from Performance Measures</w:t>
            </w:r>
          </w:p>
          <w:p w:rsidR="00807E63" w:rsidRPr="00B755E0" w:rsidRDefault="00807E63" w:rsidP="00807E63">
            <w:pPr>
              <w:pStyle w:val="Default"/>
              <w:rPr>
                <w:rFonts w:ascii="Arial Narrow" w:hAnsi="Arial Narrow" w:cs="Arial"/>
                <w:sz w:val="14"/>
                <w:szCs w:val="14"/>
              </w:rPr>
            </w:pPr>
            <w:proofErr w:type="spellStart"/>
            <w:r w:rsidRPr="00B755E0">
              <w:rPr>
                <w:rFonts w:ascii="Arial Narrow" w:hAnsi="Arial Narrow" w:cs="Arial"/>
                <w:sz w:val="14"/>
                <w:szCs w:val="14"/>
                <w:vertAlign w:val="superscript"/>
              </w:rPr>
              <w:t>b</w:t>
            </w:r>
            <w:r w:rsidRPr="00B755E0">
              <w:rPr>
                <w:rFonts w:ascii="Arial Narrow" w:hAnsi="Arial Narrow" w:cs="Arial"/>
                <w:sz w:val="14"/>
                <w:szCs w:val="14"/>
              </w:rPr>
              <w:t>RWGA</w:t>
            </w:r>
            <w:proofErr w:type="spellEnd"/>
            <w:r w:rsidR="00CE6938" w:rsidRPr="00B755E0">
              <w:rPr>
                <w:rFonts w:ascii="Arial Narrow" w:hAnsi="Arial Narrow" w:cs="Arial"/>
                <w:sz w:val="14"/>
                <w:szCs w:val="14"/>
              </w:rPr>
              <w:t xml:space="preserve"> P</w:t>
            </w:r>
            <w:r w:rsidR="00003E9C" w:rsidRPr="00B755E0">
              <w:rPr>
                <w:rFonts w:ascii="Arial Narrow" w:hAnsi="Arial Narrow" w:cs="Arial"/>
                <w:sz w:val="14"/>
                <w:szCs w:val="14"/>
              </w:rPr>
              <w:t>rimary Care Chart Review FY 2016</w:t>
            </w:r>
            <w:r w:rsidR="00CE6938" w:rsidRPr="00B755E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="00003E9C" w:rsidRPr="00B755E0">
              <w:rPr>
                <w:rFonts w:ascii="Arial Narrow" w:hAnsi="Arial Narrow" w:cs="Arial"/>
                <w:sz w:val="14"/>
                <w:szCs w:val="14"/>
              </w:rPr>
              <w:t>December</w:t>
            </w:r>
            <w:r w:rsidR="00CE6938" w:rsidRPr="00B755E0">
              <w:rPr>
                <w:rFonts w:ascii="Arial Narrow" w:hAnsi="Arial Narrow" w:cs="Arial"/>
                <w:sz w:val="14"/>
                <w:szCs w:val="14"/>
              </w:rPr>
              <w:t xml:space="preserve"> 201</w:t>
            </w:r>
            <w:r w:rsidR="00003E9C" w:rsidRPr="00B755E0">
              <w:rPr>
                <w:rFonts w:ascii="Arial Narrow" w:hAnsi="Arial Narrow" w:cs="Arial"/>
                <w:sz w:val="14"/>
                <w:szCs w:val="14"/>
              </w:rPr>
              <w:t>7</w:t>
            </w:r>
            <w:r w:rsidR="00CE6938" w:rsidRPr="00B755E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807E63" w:rsidRPr="006B3C83" w:rsidRDefault="00696059" w:rsidP="00B755E0">
            <w:pPr>
              <w:pStyle w:val="Default"/>
              <w:rPr>
                <w:rFonts w:cs="Arial"/>
                <w:sz w:val="16"/>
                <w:szCs w:val="16"/>
              </w:rPr>
            </w:pPr>
            <w:proofErr w:type="spellStart"/>
            <w:r w:rsidRPr="00B755E0">
              <w:rPr>
                <w:rFonts w:ascii="Arial Narrow" w:hAnsi="Arial Narrow" w:cs="Arial"/>
                <w:sz w:val="14"/>
                <w:szCs w:val="14"/>
                <w:vertAlign w:val="superscript"/>
              </w:rPr>
              <w:t>c</w:t>
            </w:r>
            <w:r w:rsidRPr="00B755E0">
              <w:rPr>
                <w:rFonts w:ascii="Arial Narrow" w:hAnsi="Arial Narrow" w:cs="Arial"/>
                <w:sz w:val="14"/>
                <w:szCs w:val="14"/>
              </w:rPr>
              <w:t>RWGA</w:t>
            </w:r>
            <w:proofErr w:type="spellEnd"/>
            <w:r w:rsidRPr="00B755E0">
              <w:rPr>
                <w:rFonts w:ascii="Arial Narrow" w:hAnsi="Arial Narrow" w:cs="Arial"/>
                <w:sz w:val="14"/>
                <w:szCs w:val="14"/>
              </w:rPr>
              <w:t xml:space="preserve"> Vision Care Chart Review FY 201</w:t>
            </w:r>
            <w:r w:rsidR="00B755E0" w:rsidRPr="00B755E0">
              <w:rPr>
                <w:rFonts w:ascii="Arial Narrow" w:hAnsi="Arial Narrow" w:cs="Arial"/>
                <w:sz w:val="14"/>
                <w:szCs w:val="14"/>
              </w:rPr>
              <w:t>6</w:t>
            </w:r>
            <w:r w:rsidRPr="00B755E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="00B755E0" w:rsidRPr="00B755E0">
              <w:rPr>
                <w:rFonts w:ascii="Arial Narrow" w:hAnsi="Arial Narrow" w:cs="Arial"/>
                <w:sz w:val="14"/>
                <w:szCs w:val="14"/>
              </w:rPr>
              <w:t>December</w:t>
            </w:r>
            <w:r w:rsidRPr="00B755E0">
              <w:rPr>
                <w:rFonts w:ascii="Arial Narrow" w:hAnsi="Arial Narrow" w:cs="Arial"/>
                <w:sz w:val="14"/>
                <w:szCs w:val="14"/>
              </w:rPr>
              <w:t xml:space="preserve"> 201</w:t>
            </w:r>
            <w:r w:rsidR="00D71516" w:rsidRPr="00B755E0">
              <w:rPr>
                <w:rFonts w:ascii="Arial Narrow" w:hAnsi="Arial Narrow" w:cs="Arial"/>
                <w:sz w:val="14"/>
                <w:szCs w:val="14"/>
              </w:rPr>
              <w:t>7</w:t>
            </w:r>
            <w:r w:rsidRPr="00B755E0">
              <w:rPr>
                <w:rFonts w:ascii="Arial Narrow" w:hAnsi="Arial Narrow" w:cs="Arial"/>
                <w:sz w:val="14"/>
                <w:szCs w:val="14"/>
              </w:rPr>
              <w:t>)</w:t>
            </w:r>
            <w:r w:rsidR="009A70FF" w:rsidRPr="006B3C8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140" w:type="dxa"/>
          </w:tcPr>
          <w:p w:rsidR="00807E63" w:rsidRPr="006C46B0" w:rsidRDefault="00807E63" w:rsidP="00807E63">
            <w:pPr>
              <w:pStyle w:val="Heading4"/>
              <w:spacing w:before="0" w:after="0"/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</w:pPr>
            <w:r w:rsidRPr="006C46B0">
              <w:rPr>
                <w:rFonts w:ascii="Arial Narrow" w:hAnsi="Arial Narrow" w:cs="Arial"/>
                <w:b w:val="0"/>
                <w:color w:val="000000"/>
                <w:sz w:val="21"/>
                <w:szCs w:val="21"/>
                <w:u w:val="single"/>
              </w:rPr>
              <w:t>Needs Assessment Rankings</w:t>
            </w:r>
            <w:r w:rsidRPr="006C46B0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>:</w:t>
            </w:r>
          </w:p>
          <w:p w:rsidR="007637F6" w:rsidRPr="006C46B0" w:rsidRDefault="00807E63" w:rsidP="007637F6">
            <w:pPr>
              <w:tabs>
                <w:tab w:val="left" w:pos="592"/>
              </w:tabs>
              <w:ind w:firstLine="144"/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sz w:val="21"/>
                <w:szCs w:val="21"/>
              </w:rPr>
              <w:tab/>
            </w:r>
          </w:p>
          <w:p w:rsidR="007637F6" w:rsidRPr="006C46B0" w:rsidRDefault="007637F6" w:rsidP="007637F6">
            <w:pPr>
              <w:tabs>
                <w:tab w:val="left" w:pos="592"/>
              </w:tabs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color w:val="000000"/>
                <w:sz w:val="21"/>
                <w:szCs w:val="21"/>
              </w:rPr>
              <w:t>Primary Care was surveyed as “</w:t>
            </w:r>
            <w:r w:rsidRPr="006C46B0">
              <w:rPr>
                <w:rFonts w:cs="Arial"/>
                <w:i/>
                <w:color w:val="000000"/>
                <w:sz w:val="21"/>
                <w:szCs w:val="21"/>
              </w:rPr>
              <w:t>HIV medical care visits or clinic appointments with a doctor, nurse, or physician assistant (i.e., outpatient primary HIV medical care)”</w:t>
            </w:r>
            <w:r w:rsidRPr="006C46B0">
              <w:rPr>
                <w:rFonts w:cs="Arial"/>
                <w:color w:val="000000"/>
                <w:sz w:val="21"/>
                <w:szCs w:val="21"/>
              </w:rPr>
              <w:t xml:space="preserve"> in the 201</w:t>
            </w:r>
            <w:r w:rsidR="002D4D2D" w:rsidRPr="006C46B0">
              <w:rPr>
                <w:rFonts w:cs="Arial"/>
                <w:color w:val="000000"/>
                <w:sz w:val="21"/>
                <w:szCs w:val="21"/>
              </w:rPr>
              <w:t>6</w:t>
            </w:r>
            <w:r w:rsidRPr="006C46B0">
              <w:rPr>
                <w:rFonts w:cs="Arial"/>
                <w:color w:val="000000"/>
                <w:sz w:val="21"/>
                <w:szCs w:val="21"/>
              </w:rPr>
              <w:t xml:space="preserve"> Needs Assessment. </w:t>
            </w:r>
            <w:r w:rsidRPr="006C46B0">
              <w:rPr>
                <w:rFonts w:cs="Arial"/>
                <w:sz w:val="21"/>
                <w:szCs w:val="21"/>
              </w:rPr>
              <w:t>Results as defined are below:</w:t>
            </w:r>
          </w:p>
          <w:p w:rsidR="00EA7BD1" w:rsidRPr="006C46B0" w:rsidRDefault="00EA7BD1" w:rsidP="007637F6">
            <w:pPr>
              <w:tabs>
                <w:tab w:val="left" w:pos="592"/>
              </w:tabs>
              <w:rPr>
                <w:rFonts w:cs="Arial"/>
                <w:sz w:val="21"/>
                <w:szCs w:val="21"/>
              </w:rPr>
            </w:pPr>
          </w:p>
          <w:p w:rsidR="00EA7BD1" w:rsidRPr="006C46B0" w:rsidRDefault="00EA7BD1" w:rsidP="007637F6">
            <w:pPr>
              <w:tabs>
                <w:tab w:val="left" w:pos="592"/>
              </w:tabs>
              <w:rPr>
                <w:rFonts w:cs="Arial"/>
                <w:sz w:val="21"/>
                <w:szCs w:val="21"/>
              </w:rPr>
            </w:pPr>
            <w:r w:rsidRPr="006C46B0">
              <w:rPr>
                <w:noProof/>
              </w:rPr>
              <w:drawing>
                <wp:inline distT="0" distB="0" distL="0" distR="0" wp14:anchorId="2445D8E1" wp14:editId="456C01C2">
                  <wp:extent cx="2491740" cy="149479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7637F6" w:rsidRPr="006C46B0" w:rsidRDefault="007637F6" w:rsidP="007637F6">
            <w:pPr>
              <w:rPr>
                <w:rFonts w:cs="Arial"/>
                <w:sz w:val="12"/>
                <w:szCs w:val="12"/>
              </w:rPr>
            </w:pPr>
          </w:p>
          <w:p w:rsidR="007637F6" w:rsidRPr="006C46B0" w:rsidRDefault="00062146" w:rsidP="006D6030">
            <w:pPr>
              <w:numPr>
                <w:ilvl w:val="0"/>
                <w:numId w:val="13"/>
              </w:numPr>
              <w:ind w:left="202" w:right="61" w:hanging="202"/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sz w:val="21"/>
                <w:szCs w:val="21"/>
              </w:rPr>
              <w:t>94</w:t>
            </w:r>
            <w:r w:rsidR="007637F6" w:rsidRPr="006C46B0">
              <w:rPr>
                <w:rFonts w:cs="Arial"/>
                <w:sz w:val="21"/>
                <w:szCs w:val="21"/>
              </w:rPr>
              <w:t>% of respondents reported a need for Primary Care, placing this service as the highest ranked need surveyed.</w:t>
            </w:r>
          </w:p>
          <w:p w:rsidR="007637F6" w:rsidRPr="006C46B0" w:rsidRDefault="007637F6" w:rsidP="006D6030">
            <w:pPr>
              <w:numPr>
                <w:ilvl w:val="0"/>
                <w:numId w:val="13"/>
              </w:numPr>
              <w:ind w:left="202" w:right="61" w:hanging="202"/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sz w:val="21"/>
                <w:szCs w:val="21"/>
              </w:rPr>
              <w:t xml:space="preserve">The most common barrier reported for Primary Care was </w:t>
            </w:r>
            <w:r w:rsidR="00062146" w:rsidRPr="006C46B0">
              <w:rPr>
                <w:rFonts w:cs="Arial"/>
                <w:sz w:val="21"/>
                <w:szCs w:val="21"/>
              </w:rPr>
              <w:t>administrative issues</w:t>
            </w:r>
            <w:r w:rsidR="00F11518" w:rsidRPr="006C46B0">
              <w:rPr>
                <w:rFonts w:cs="Arial"/>
                <w:sz w:val="21"/>
                <w:szCs w:val="21"/>
              </w:rPr>
              <w:t xml:space="preserve"> </w:t>
            </w:r>
            <w:r w:rsidR="004F605D" w:rsidRPr="006C46B0">
              <w:rPr>
                <w:rFonts w:cs="Arial"/>
                <w:sz w:val="21"/>
                <w:szCs w:val="21"/>
              </w:rPr>
              <w:t>(</w:t>
            </w:r>
            <w:r w:rsidR="00062146" w:rsidRPr="006C46B0">
              <w:rPr>
                <w:rFonts w:cs="Arial"/>
                <w:sz w:val="21"/>
                <w:szCs w:val="21"/>
              </w:rPr>
              <w:t>19</w:t>
            </w:r>
            <w:r w:rsidRPr="006C46B0">
              <w:rPr>
                <w:rFonts w:cs="Arial"/>
                <w:sz w:val="21"/>
                <w:szCs w:val="21"/>
              </w:rPr>
              <w:t>% of all reported barriers to this service).</w:t>
            </w:r>
          </w:p>
          <w:p w:rsidR="007637F6" w:rsidRPr="006C46B0" w:rsidRDefault="00062146" w:rsidP="006D6030">
            <w:pPr>
              <w:numPr>
                <w:ilvl w:val="0"/>
                <w:numId w:val="13"/>
              </w:numPr>
              <w:ind w:left="202" w:hanging="202"/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sz w:val="21"/>
                <w:szCs w:val="21"/>
              </w:rPr>
              <w:t>Fem</w:t>
            </w:r>
            <w:r w:rsidR="007637F6" w:rsidRPr="006C46B0">
              <w:rPr>
                <w:rFonts w:cs="Arial"/>
                <w:sz w:val="21"/>
                <w:szCs w:val="21"/>
              </w:rPr>
              <w:t xml:space="preserve">ales, </w:t>
            </w:r>
            <w:r w:rsidRPr="006C46B0">
              <w:rPr>
                <w:rFonts w:cs="Arial"/>
                <w:sz w:val="21"/>
                <w:szCs w:val="21"/>
              </w:rPr>
              <w:t xml:space="preserve">other/multiracial and white </w:t>
            </w:r>
            <w:r w:rsidR="007637F6" w:rsidRPr="006C46B0">
              <w:rPr>
                <w:rFonts w:cs="Arial"/>
                <w:sz w:val="21"/>
                <w:szCs w:val="21"/>
              </w:rPr>
              <w:t>PLWH</w:t>
            </w:r>
            <w:r w:rsidRPr="006C46B0">
              <w:rPr>
                <w:rFonts w:cs="Arial"/>
                <w:sz w:val="21"/>
                <w:szCs w:val="21"/>
              </w:rPr>
              <w:t xml:space="preserve">, and </w:t>
            </w:r>
            <w:r w:rsidR="009B336E" w:rsidRPr="006C46B0">
              <w:rPr>
                <w:rFonts w:cs="Arial"/>
                <w:sz w:val="21"/>
                <w:szCs w:val="21"/>
              </w:rPr>
              <w:t>PLWH</w:t>
            </w:r>
            <w:r w:rsidRPr="006C46B0">
              <w:rPr>
                <w:rFonts w:cs="Arial"/>
                <w:sz w:val="21"/>
                <w:szCs w:val="21"/>
              </w:rPr>
              <w:t xml:space="preserve"> age 50</w:t>
            </w:r>
            <w:r w:rsidR="007637F6" w:rsidRPr="006C46B0">
              <w:rPr>
                <w:rFonts w:cs="Arial"/>
                <w:sz w:val="21"/>
                <w:szCs w:val="21"/>
              </w:rPr>
              <w:t>+ reported the least difficulty accessing Primary Care.</w:t>
            </w:r>
          </w:p>
          <w:p w:rsidR="007637F6" w:rsidRPr="006C46B0" w:rsidRDefault="00062146" w:rsidP="006D6030">
            <w:pPr>
              <w:numPr>
                <w:ilvl w:val="0"/>
                <w:numId w:val="13"/>
              </w:numPr>
              <w:ind w:left="202" w:hanging="202"/>
              <w:rPr>
                <w:rFonts w:cs="Arial"/>
                <w:sz w:val="21"/>
                <w:szCs w:val="21"/>
              </w:rPr>
            </w:pPr>
            <w:r w:rsidRPr="006C46B0">
              <w:rPr>
                <w:rFonts w:cs="Arial"/>
                <w:sz w:val="21"/>
                <w:szCs w:val="21"/>
              </w:rPr>
              <w:t>Out of care, rural, transgender, recently released, and unstably housed PLWH reported more</w:t>
            </w:r>
            <w:r w:rsidR="007637F6" w:rsidRPr="006C46B0">
              <w:rPr>
                <w:rFonts w:cs="Arial"/>
                <w:sz w:val="21"/>
                <w:szCs w:val="21"/>
              </w:rPr>
              <w:t xml:space="preserve"> di</w:t>
            </w:r>
            <w:r w:rsidRPr="006C46B0">
              <w:rPr>
                <w:rFonts w:cs="Arial"/>
                <w:sz w:val="21"/>
                <w:szCs w:val="21"/>
              </w:rPr>
              <w:t>fficulty accessing Primary Care than the sample as a whole.</w:t>
            </w:r>
          </w:p>
          <w:p w:rsidR="00062146" w:rsidRPr="006C46B0" w:rsidRDefault="00062146" w:rsidP="00062146">
            <w:pPr>
              <w:ind w:left="202"/>
              <w:rPr>
                <w:rFonts w:cs="Arial"/>
                <w:sz w:val="21"/>
                <w:szCs w:val="21"/>
              </w:rPr>
            </w:pPr>
          </w:p>
          <w:p w:rsidR="007637F6" w:rsidRPr="006C46B0" w:rsidRDefault="007637F6" w:rsidP="007637F6">
            <w:pPr>
              <w:ind w:right="88"/>
              <w:rPr>
                <w:rFonts w:cs="Arial"/>
                <w:sz w:val="14"/>
                <w:szCs w:val="14"/>
              </w:rPr>
            </w:pPr>
            <w:r w:rsidRPr="006C46B0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6C46B0">
              <w:rPr>
                <w:rFonts w:cs="Arial"/>
                <w:sz w:val="14"/>
                <w:szCs w:val="14"/>
              </w:rPr>
              <w:t xml:space="preserve">: </w:t>
            </w:r>
          </w:p>
          <w:p w:rsidR="00807E63" w:rsidRPr="006C46B0" w:rsidRDefault="004F605D" w:rsidP="00807E63">
            <w:pPr>
              <w:ind w:right="88"/>
              <w:rPr>
                <w:rFonts w:cs="Arial"/>
                <w:sz w:val="14"/>
                <w:szCs w:val="14"/>
              </w:rPr>
            </w:pPr>
            <w:r w:rsidRPr="006C46B0">
              <w:rPr>
                <w:rFonts w:cs="Arial"/>
                <w:sz w:val="14"/>
                <w:szCs w:val="18"/>
              </w:rPr>
              <w:t>2016 Houston Area HIV</w:t>
            </w:r>
            <w:r w:rsidR="00EA7BD1" w:rsidRPr="006C46B0">
              <w:rPr>
                <w:rFonts w:cs="Arial"/>
                <w:sz w:val="14"/>
                <w:szCs w:val="18"/>
              </w:rPr>
              <w:t xml:space="preserve"> Needs Assessment</w:t>
            </w:r>
            <w:r w:rsidR="00EA7BD1" w:rsidRPr="006C46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807E63" w:rsidRPr="006C46B0" w:rsidRDefault="00807E63" w:rsidP="00E056BA">
            <w:pPr>
              <w:ind w:left="225" w:hanging="180"/>
              <w:rPr>
                <w:rFonts w:cs="Arial"/>
                <w:sz w:val="18"/>
                <w:szCs w:val="18"/>
              </w:rPr>
            </w:pPr>
            <w:r w:rsidRPr="006C46B0">
              <w:rPr>
                <w:rFonts w:cs="Arial"/>
                <w:sz w:val="18"/>
                <w:szCs w:val="18"/>
              </w:rPr>
              <w:t>This service aligns with the following goals:</w:t>
            </w:r>
          </w:p>
          <w:p w:rsidR="00807E63" w:rsidRPr="006C46B0" w:rsidRDefault="00807E63" w:rsidP="00E056BA">
            <w:pPr>
              <w:tabs>
                <w:tab w:val="left" w:pos="471"/>
              </w:tabs>
              <w:ind w:left="225" w:hanging="180"/>
              <w:rPr>
                <w:rFonts w:cs="Arial"/>
                <w:sz w:val="18"/>
                <w:szCs w:val="18"/>
                <w:u w:val="single"/>
              </w:rPr>
            </w:pPr>
          </w:p>
          <w:p w:rsidR="00C65565" w:rsidRPr="006C46B0" w:rsidRDefault="00C65565" w:rsidP="00E056BA">
            <w:pPr>
              <w:tabs>
                <w:tab w:val="left" w:pos="471"/>
              </w:tabs>
              <w:ind w:left="225" w:hanging="180"/>
              <w:rPr>
                <w:rFonts w:cs="Arial"/>
                <w:sz w:val="18"/>
                <w:szCs w:val="18"/>
                <w:u w:val="single"/>
              </w:rPr>
            </w:pPr>
            <w:r w:rsidRPr="006C46B0">
              <w:rPr>
                <w:rFonts w:cs="Arial"/>
                <w:sz w:val="18"/>
                <w:szCs w:val="18"/>
                <w:u w:val="single"/>
              </w:rPr>
              <w:t>National HIV/AIDS Strategy (</w:t>
            </w:r>
            <w:proofErr w:type="spellStart"/>
            <w:r w:rsidRPr="006C46B0">
              <w:rPr>
                <w:rFonts w:cs="Arial"/>
                <w:sz w:val="18"/>
                <w:szCs w:val="18"/>
                <w:u w:val="single"/>
              </w:rPr>
              <w:t>NHAS</w:t>
            </w:r>
            <w:proofErr w:type="spellEnd"/>
            <w:r w:rsidRPr="006C46B0">
              <w:rPr>
                <w:rFonts w:cs="Arial"/>
                <w:sz w:val="18"/>
                <w:szCs w:val="18"/>
                <w:u w:val="single"/>
              </w:rPr>
              <w:t>) Updated for 2020 (2015)</w:t>
            </w:r>
          </w:p>
          <w:p w:rsidR="00CD1AB8" w:rsidRPr="006C46B0" w:rsidRDefault="00CD1AB8" w:rsidP="006D6030">
            <w:pPr>
              <w:pStyle w:val="ListParagraph"/>
              <w:numPr>
                <w:ilvl w:val="0"/>
                <w:numId w:val="10"/>
              </w:numPr>
              <w:ind w:left="225" w:hanging="180"/>
              <w:rPr>
                <w:rFonts w:cs="Arial"/>
                <w:sz w:val="18"/>
                <w:szCs w:val="18"/>
              </w:rPr>
            </w:pPr>
            <w:r w:rsidRPr="006C46B0">
              <w:rPr>
                <w:rFonts w:cs="Arial"/>
                <w:sz w:val="18"/>
                <w:szCs w:val="18"/>
              </w:rPr>
              <w:t>Increase the percentage of persons with diagnosed HIV who are retained in HIV medical care to at least 90%.</w:t>
            </w:r>
          </w:p>
          <w:p w:rsidR="00CD1AB8" w:rsidRPr="006C46B0" w:rsidRDefault="00CD1AB8" w:rsidP="006D6030">
            <w:pPr>
              <w:pStyle w:val="ListParagraph"/>
              <w:numPr>
                <w:ilvl w:val="0"/>
                <w:numId w:val="10"/>
              </w:numPr>
              <w:ind w:left="225" w:hanging="180"/>
              <w:rPr>
                <w:rFonts w:cs="Arial"/>
                <w:sz w:val="18"/>
                <w:szCs w:val="18"/>
              </w:rPr>
            </w:pPr>
            <w:r w:rsidRPr="006C46B0">
              <w:rPr>
                <w:rFonts w:cs="Arial"/>
                <w:sz w:val="18"/>
                <w:szCs w:val="18"/>
              </w:rPr>
              <w:t>Increase the percentage of persons with diagnosed HIV who are virally suppressed to at least 80%.</w:t>
            </w:r>
          </w:p>
          <w:p w:rsidR="00C4541C" w:rsidRPr="006C46B0" w:rsidRDefault="00C4541C" w:rsidP="00C4541C">
            <w:pPr>
              <w:pStyle w:val="ListParagraph"/>
              <w:ind w:left="225"/>
              <w:rPr>
                <w:rFonts w:cs="Arial"/>
                <w:sz w:val="8"/>
                <w:szCs w:val="8"/>
              </w:rPr>
            </w:pPr>
          </w:p>
          <w:p w:rsidR="00FF3C93" w:rsidRPr="006C46B0" w:rsidRDefault="00EC68DA" w:rsidP="00E056BA">
            <w:pPr>
              <w:ind w:left="225" w:right="73" w:hanging="180"/>
              <w:rPr>
                <w:rFonts w:cs="Arial"/>
                <w:sz w:val="18"/>
                <w:szCs w:val="18"/>
                <w:u w:val="single"/>
              </w:rPr>
            </w:pPr>
            <w:r w:rsidRPr="006C46B0">
              <w:rPr>
                <w:rFonts w:cs="Arial"/>
                <w:sz w:val="18"/>
                <w:szCs w:val="18"/>
                <w:u w:val="single"/>
              </w:rPr>
              <w:t>HIV Care Continuum</w:t>
            </w:r>
          </w:p>
          <w:p w:rsidR="00FF3C93" w:rsidRPr="006C46B0" w:rsidRDefault="00FF3C93" w:rsidP="006D6030">
            <w:pPr>
              <w:pStyle w:val="ListParagraph"/>
              <w:numPr>
                <w:ilvl w:val="0"/>
                <w:numId w:val="10"/>
              </w:numPr>
              <w:ind w:left="225" w:right="73" w:hanging="180"/>
              <w:rPr>
                <w:sz w:val="18"/>
                <w:szCs w:val="18"/>
              </w:rPr>
            </w:pPr>
            <w:r w:rsidRPr="006C46B0">
              <w:rPr>
                <w:sz w:val="18"/>
                <w:szCs w:val="18"/>
              </w:rPr>
              <w:t xml:space="preserve">Increase the percentage of those aware of their HIV+ status retained in HIV care </w:t>
            </w:r>
          </w:p>
          <w:p w:rsidR="00FF3C93" w:rsidRPr="006C46B0" w:rsidRDefault="00FF3C93" w:rsidP="006D6030">
            <w:pPr>
              <w:pStyle w:val="ListParagraph"/>
              <w:numPr>
                <w:ilvl w:val="0"/>
                <w:numId w:val="10"/>
              </w:numPr>
              <w:ind w:left="225" w:right="73" w:hanging="180"/>
              <w:rPr>
                <w:sz w:val="18"/>
                <w:szCs w:val="18"/>
              </w:rPr>
            </w:pPr>
            <w:r w:rsidRPr="006C46B0">
              <w:rPr>
                <w:sz w:val="18"/>
                <w:szCs w:val="18"/>
              </w:rPr>
              <w:t xml:space="preserve">Increase the percentage of those aware of their HIV+ status with a suppressed viral load </w:t>
            </w:r>
          </w:p>
          <w:p w:rsidR="00C4541C" w:rsidRPr="006C46B0" w:rsidRDefault="00C4541C" w:rsidP="00C4541C">
            <w:pPr>
              <w:pStyle w:val="ListParagraph"/>
              <w:ind w:left="225" w:right="73"/>
              <w:rPr>
                <w:sz w:val="8"/>
                <w:szCs w:val="8"/>
              </w:rPr>
            </w:pPr>
          </w:p>
          <w:p w:rsidR="00C4541C" w:rsidRPr="006C46B0" w:rsidRDefault="00C4541C" w:rsidP="006C46B0">
            <w:pPr>
              <w:ind w:left="256" w:hanging="256"/>
              <w:rPr>
                <w:sz w:val="18"/>
                <w:u w:val="single"/>
              </w:rPr>
            </w:pPr>
            <w:r w:rsidRPr="006C46B0">
              <w:rPr>
                <w:sz w:val="18"/>
                <w:u w:val="single"/>
              </w:rPr>
              <w:t>The Texas HIV Plan (2017-2021):</w:t>
            </w:r>
          </w:p>
          <w:p w:rsidR="00C4541C" w:rsidRPr="006C46B0" w:rsidRDefault="00C4541C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sz w:val="18"/>
                <w:szCs w:val="18"/>
              </w:rPr>
            </w:pPr>
            <w:r w:rsidRPr="006C46B0">
              <w:rPr>
                <w:sz w:val="18"/>
                <w:szCs w:val="18"/>
              </w:rPr>
              <w:t>Increase continuous participation in systems of care and treatment</w:t>
            </w:r>
          </w:p>
          <w:p w:rsidR="00C4541C" w:rsidRPr="006C46B0" w:rsidRDefault="00C4541C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sz w:val="18"/>
                <w:szCs w:val="18"/>
              </w:rPr>
            </w:pPr>
            <w:r w:rsidRPr="006C46B0">
              <w:rPr>
                <w:sz w:val="18"/>
                <w:szCs w:val="18"/>
              </w:rPr>
              <w:t>Increase viral suppression</w:t>
            </w:r>
          </w:p>
          <w:p w:rsidR="00C4541C" w:rsidRPr="006C46B0" w:rsidRDefault="00C4541C" w:rsidP="006C46B0">
            <w:pPr>
              <w:pStyle w:val="ListParagraph"/>
              <w:ind w:left="256" w:right="73" w:hanging="256"/>
              <w:rPr>
                <w:sz w:val="8"/>
                <w:szCs w:val="8"/>
              </w:rPr>
            </w:pPr>
          </w:p>
          <w:p w:rsidR="00FF3C93" w:rsidRPr="006C46B0" w:rsidRDefault="00FF3C93" w:rsidP="006C46B0">
            <w:pPr>
              <w:ind w:left="256" w:right="73" w:hanging="256"/>
              <w:rPr>
                <w:rFonts w:cs="Arial"/>
                <w:sz w:val="18"/>
                <w:szCs w:val="18"/>
                <w:u w:val="single"/>
              </w:rPr>
            </w:pPr>
            <w:r w:rsidRPr="006C46B0">
              <w:rPr>
                <w:rFonts w:cs="Arial"/>
                <w:sz w:val="18"/>
                <w:szCs w:val="18"/>
                <w:u w:val="single"/>
              </w:rPr>
              <w:t>Comprehensive HIV Plan (</w:t>
            </w:r>
            <w:r w:rsidR="00E91B92" w:rsidRPr="006C46B0">
              <w:rPr>
                <w:rFonts w:cs="Arial"/>
                <w:sz w:val="18"/>
                <w:szCs w:val="18"/>
                <w:u w:val="single"/>
              </w:rPr>
              <w:t>2017-2021</w:t>
            </w:r>
            <w:r w:rsidRPr="006C46B0">
              <w:rPr>
                <w:rFonts w:cs="Arial"/>
                <w:sz w:val="18"/>
                <w:szCs w:val="18"/>
                <w:u w:val="single"/>
              </w:rPr>
              <w:t xml:space="preserve">): </w:t>
            </w:r>
          </w:p>
          <w:p w:rsidR="00E91B92" w:rsidRPr="006C46B0" w:rsidRDefault="00E91B92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rFonts w:cs="Myriad Pro"/>
                <w:sz w:val="18"/>
                <w:szCs w:val="18"/>
              </w:rPr>
            </w:pPr>
            <w:r w:rsidRPr="006C46B0">
              <w:rPr>
                <w:rFonts w:cs="Myriad Pro"/>
                <w:sz w:val="18"/>
                <w:szCs w:val="18"/>
              </w:rPr>
              <w:t>Increase the percentage of RW clients in continuous HIV care to ≥ 90%</w:t>
            </w:r>
          </w:p>
          <w:p w:rsidR="00E91B92" w:rsidRPr="006C46B0" w:rsidRDefault="00E91B92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rFonts w:cs="Myriad Pro"/>
                <w:sz w:val="18"/>
                <w:szCs w:val="18"/>
              </w:rPr>
            </w:pPr>
            <w:r w:rsidRPr="006C46B0">
              <w:rPr>
                <w:rFonts w:cs="Myriad Pro"/>
                <w:sz w:val="18"/>
                <w:szCs w:val="18"/>
              </w:rPr>
              <w:t>Increase the percentage of PLWH who are retained in care to ≥ 90%.</w:t>
            </w:r>
          </w:p>
          <w:p w:rsidR="00E91B92" w:rsidRPr="006C46B0" w:rsidRDefault="00E91B92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rFonts w:cs="Myriad Pro"/>
                <w:sz w:val="18"/>
                <w:szCs w:val="18"/>
              </w:rPr>
            </w:pPr>
            <w:r w:rsidRPr="006C46B0">
              <w:rPr>
                <w:rFonts w:cs="Myriad Pro"/>
                <w:sz w:val="18"/>
                <w:szCs w:val="18"/>
              </w:rPr>
              <w:t>Maintain / increase the proportion of RW clients who are virally suppressed to ≥ 90%</w:t>
            </w:r>
          </w:p>
          <w:p w:rsidR="00E91B92" w:rsidRPr="006C46B0" w:rsidRDefault="00E91B92" w:rsidP="006D6030">
            <w:pPr>
              <w:pStyle w:val="ListParagraph"/>
              <w:numPr>
                <w:ilvl w:val="0"/>
                <w:numId w:val="10"/>
              </w:numPr>
              <w:ind w:left="256" w:right="73" w:hanging="256"/>
              <w:rPr>
                <w:rFonts w:cs="Myriad Pro"/>
                <w:sz w:val="18"/>
                <w:szCs w:val="18"/>
              </w:rPr>
            </w:pPr>
            <w:r w:rsidRPr="006C46B0">
              <w:rPr>
                <w:rFonts w:cs="Myriad Pro"/>
                <w:sz w:val="18"/>
                <w:szCs w:val="18"/>
              </w:rPr>
              <w:t xml:space="preserve">Increase the percentage of PLWH who are virally suppressed ≥80% </w:t>
            </w:r>
          </w:p>
          <w:p w:rsidR="00FF3C93" w:rsidRPr="006C46B0" w:rsidRDefault="00FF3C93" w:rsidP="006C46B0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ind w:left="256" w:right="73" w:hanging="256"/>
              <w:contextualSpacing w:val="0"/>
              <w:rPr>
                <w:sz w:val="18"/>
                <w:szCs w:val="18"/>
              </w:rPr>
            </w:pPr>
            <w:r w:rsidRPr="006C46B0">
              <w:rPr>
                <w:sz w:val="18"/>
                <w:szCs w:val="18"/>
              </w:rPr>
              <w:t>The following Special Population is also specifically addressed by this service:</w:t>
            </w:r>
          </w:p>
          <w:p w:rsidR="00807E63" w:rsidRPr="006C46B0" w:rsidRDefault="009B336E" w:rsidP="006D6030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sz w:val="21"/>
                <w:szCs w:val="21"/>
              </w:rPr>
            </w:pPr>
            <w:r w:rsidRPr="006C46B0">
              <w:rPr>
                <w:sz w:val="18"/>
                <w:szCs w:val="18"/>
              </w:rPr>
              <w:t>Youth (age 13 – 24</w:t>
            </w:r>
            <w:r w:rsidR="00FF3C93" w:rsidRPr="006C46B0">
              <w:rPr>
                <w:sz w:val="18"/>
                <w:szCs w:val="18"/>
              </w:rPr>
              <w:t>)</w:t>
            </w:r>
          </w:p>
          <w:p w:rsidR="006C46B0" w:rsidRPr="006C46B0" w:rsidRDefault="006C46B0" w:rsidP="006C46B0">
            <w:pPr>
              <w:pStyle w:val="ListParagraph"/>
              <w:ind w:left="256"/>
              <w:rPr>
                <w:sz w:val="8"/>
                <w:szCs w:val="8"/>
              </w:rPr>
            </w:pPr>
          </w:p>
          <w:p w:rsidR="006C46B0" w:rsidRPr="006C46B0" w:rsidRDefault="006C46B0" w:rsidP="006C46B0">
            <w:pPr>
              <w:rPr>
                <w:rFonts w:cs="Arial"/>
                <w:szCs w:val="20"/>
                <w:u w:val="single"/>
              </w:rPr>
            </w:pPr>
            <w:r w:rsidRPr="006C46B0">
              <w:rPr>
                <w:rFonts w:cs="Arial"/>
                <w:szCs w:val="20"/>
                <w:u w:val="single"/>
              </w:rPr>
              <w:t>END Plan (2017-2021)</w:t>
            </w:r>
          </w:p>
          <w:p w:rsidR="006C46B0" w:rsidRPr="006C46B0" w:rsidRDefault="006C46B0" w:rsidP="006D6030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cs="Arial"/>
                <w:szCs w:val="20"/>
              </w:rPr>
            </w:pPr>
            <w:r w:rsidRPr="006C46B0">
              <w:rPr>
                <w:rFonts w:cs="Arial"/>
                <w:szCs w:val="20"/>
              </w:rPr>
              <w:t>Foster 90% retention in care</w:t>
            </w:r>
          </w:p>
          <w:p w:rsidR="006C46B0" w:rsidRPr="006C46B0" w:rsidRDefault="006C46B0" w:rsidP="006D6030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cs="Arial"/>
                <w:szCs w:val="20"/>
              </w:rPr>
            </w:pPr>
            <w:r w:rsidRPr="006C46B0">
              <w:rPr>
                <w:rFonts w:cs="Arial"/>
                <w:szCs w:val="20"/>
              </w:rPr>
              <w:t>Support 90% of diagnosed PLWH in Houston/Harris County to achieve viral suppression</w:t>
            </w:r>
          </w:p>
          <w:p w:rsidR="006C46B0" w:rsidRDefault="006C46B0" w:rsidP="006C46B0">
            <w:pPr>
              <w:rPr>
                <w:sz w:val="21"/>
                <w:szCs w:val="21"/>
              </w:rPr>
            </w:pPr>
          </w:p>
          <w:p w:rsidR="0031072D" w:rsidRDefault="0031072D" w:rsidP="006C46B0">
            <w:pPr>
              <w:rPr>
                <w:sz w:val="21"/>
                <w:szCs w:val="21"/>
              </w:rPr>
            </w:pPr>
          </w:p>
          <w:p w:rsidR="0031072D" w:rsidRPr="006C46B0" w:rsidRDefault="0031072D" w:rsidP="006C46B0">
            <w:pPr>
              <w:rPr>
                <w:sz w:val="21"/>
                <w:szCs w:val="21"/>
              </w:rPr>
            </w:pPr>
          </w:p>
        </w:tc>
      </w:tr>
      <w:tr w:rsidR="006B1245" w:rsidRPr="00136CF4" w:rsidTr="006E40DC">
        <w:tblPrEx>
          <w:tblCellMar>
            <w:left w:w="108" w:type="dxa"/>
            <w:right w:w="108" w:type="dxa"/>
          </w:tblCellMar>
        </w:tblPrEx>
        <w:trPr>
          <w:cantSplit/>
          <w:trHeight w:val="5136"/>
        </w:trPr>
        <w:tc>
          <w:tcPr>
            <w:tcW w:w="1469" w:type="dxa"/>
            <w:vAlign w:val="center"/>
          </w:tcPr>
          <w:p w:rsidR="00506EC7" w:rsidRPr="00031E6D" w:rsidRDefault="006B1245" w:rsidP="00DD5983">
            <w:pPr>
              <w:keepNext/>
              <w:keepLines/>
              <w:suppressLineNumbers/>
              <w:suppressAutoHyphens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7D0D25">
              <w:rPr>
                <w:rFonts w:cs="Arial"/>
                <w:b/>
                <w:bCs/>
                <w:sz w:val="21"/>
                <w:szCs w:val="21"/>
              </w:rPr>
              <w:lastRenderedPageBreak/>
              <w:t xml:space="preserve">Case Management - Medical </w:t>
            </w:r>
            <w:r w:rsidR="00506EC7" w:rsidRPr="007D0D25">
              <w:rPr>
                <w:rFonts w:cs="Arial"/>
                <w:b/>
                <w:bCs/>
                <w:sz w:val="21"/>
                <w:szCs w:val="21"/>
              </w:rPr>
              <w:t xml:space="preserve"> (MCM) </w:t>
            </w:r>
            <w:r w:rsidR="00506EC7" w:rsidRPr="007D0D25">
              <w:rPr>
                <w:rFonts w:cs="Arial"/>
                <w:bCs/>
                <w:sz w:val="21"/>
                <w:szCs w:val="21"/>
              </w:rPr>
              <w:t xml:space="preserve">(incl. </w:t>
            </w:r>
            <w:r w:rsidRPr="007D0D25">
              <w:rPr>
                <w:rFonts w:cs="Arial"/>
                <w:bCs/>
                <w:sz w:val="21"/>
                <w:szCs w:val="21"/>
              </w:rPr>
              <w:t>Clinical Case Management (</w:t>
            </w:r>
            <w:proofErr w:type="spellStart"/>
            <w:r w:rsidRPr="007D0D25">
              <w:rPr>
                <w:rFonts w:cs="Arial"/>
                <w:bCs/>
                <w:sz w:val="21"/>
                <w:szCs w:val="21"/>
              </w:rPr>
              <w:t>CCM</w:t>
            </w:r>
            <w:proofErr w:type="spellEnd"/>
            <w:r w:rsidRPr="007D0D25">
              <w:rPr>
                <w:rFonts w:cs="Arial"/>
                <w:bCs/>
                <w:sz w:val="21"/>
                <w:szCs w:val="21"/>
              </w:rPr>
              <w:t>) for Mental Health/Sub Use)</w:t>
            </w:r>
          </w:p>
        </w:tc>
        <w:tc>
          <w:tcPr>
            <w:tcW w:w="1620" w:type="dxa"/>
          </w:tcPr>
          <w:p w:rsidR="006B1245" w:rsidRPr="00D87BF8" w:rsidRDefault="00F96911" w:rsidP="007637F6">
            <w:pPr>
              <w:rPr>
                <w:rFonts w:cs="Arial"/>
                <w:sz w:val="21"/>
                <w:szCs w:val="21"/>
                <w:u w:val="single"/>
              </w:rPr>
            </w:pPr>
            <w:r w:rsidRPr="00D87BF8"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7D3B27A9" wp14:editId="616D7C0C">
                  <wp:simplePos x="0" y="0"/>
                  <wp:positionH relativeFrom="column">
                    <wp:posOffset>813657</wp:posOffset>
                  </wp:positionH>
                  <wp:positionV relativeFrom="paragraph">
                    <wp:posOffset>-73601</wp:posOffset>
                  </wp:positionV>
                  <wp:extent cx="3774558" cy="2477386"/>
                  <wp:effectExtent l="0" t="0" r="0" b="0"/>
                  <wp:wrapNone/>
                  <wp:docPr id="38" name="Chart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1245" w:rsidRPr="00D87BF8">
              <w:rPr>
                <w:rFonts w:cs="Arial"/>
                <w:sz w:val="21"/>
                <w:szCs w:val="21"/>
                <w:u w:val="single"/>
              </w:rPr>
              <w:t xml:space="preserve">Part A: 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FY98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$ 2,084,928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FY99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$1,231,605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FY00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$1,891,325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FY01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$1,679,294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FY02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$1,941,561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FY03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$1,966,899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FY04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$1,687,404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FY05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$2,319,440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FY06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$3,161,000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FY07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$1,747,070</w:t>
            </w:r>
          </w:p>
          <w:p w:rsidR="006B1245" w:rsidRPr="00D87BF8" w:rsidRDefault="006B1245" w:rsidP="007637F6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FY08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</w:t>
            </w:r>
            <w:r w:rsidRPr="00D87BF8">
              <w:rPr>
                <w:rFonts w:cs="Arial"/>
                <w:bCs/>
                <w:sz w:val="21"/>
                <w:szCs w:val="21"/>
              </w:rPr>
              <w:t>2,210,511</w:t>
            </w:r>
          </w:p>
          <w:p w:rsidR="006B1245" w:rsidRPr="00D87BF8" w:rsidRDefault="006B1245" w:rsidP="007637F6">
            <w:pPr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bCs/>
                <w:sz w:val="21"/>
                <w:szCs w:val="21"/>
              </w:rPr>
              <w:t>FY09</w:t>
            </w:r>
            <w:proofErr w:type="spellEnd"/>
            <w:r w:rsidRPr="00D87BF8">
              <w:rPr>
                <w:rFonts w:cs="Arial"/>
                <w:bCs/>
                <w:sz w:val="21"/>
                <w:szCs w:val="21"/>
              </w:rPr>
              <w:t>: $2,616,512</w:t>
            </w:r>
          </w:p>
          <w:p w:rsidR="006B1245" w:rsidRPr="00D87BF8" w:rsidRDefault="006B1245" w:rsidP="007637F6">
            <w:pPr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FY10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 xml:space="preserve">: </w:t>
            </w:r>
            <w:r w:rsidRPr="00D87BF8">
              <w:rPr>
                <w:rFonts w:cs="Arial"/>
                <w:bCs/>
                <w:sz w:val="21"/>
                <w:szCs w:val="21"/>
              </w:rPr>
              <w:t xml:space="preserve">$2,616,512 </w:t>
            </w: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bCs/>
                <w:sz w:val="21"/>
                <w:szCs w:val="21"/>
              </w:rPr>
              <w:t>FY11</w:t>
            </w:r>
            <w:proofErr w:type="spellEnd"/>
            <w:r w:rsidRPr="00D87BF8">
              <w:rPr>
                <w:rFonts w:cs="Arial"/>
                <w:bCs/>
                <w:sz w:val="21"/>
                <w:szCs w:val="21"/>
              </w:rPr>
              <w:t>: $2,139,991</w:t>
            </w: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bCs/>
                <w:sz w:val="16"/>
                <w:szCs w:val="16"/>
              </w:rPr>
            </w:pP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bCs/>
                <w:sz w:val="21"/>
                <w:szCs w:val="21"/>
                <w:u w:val="single"/>
              </w:rPr>
            </w:pPr>
            <w:r w:rsidRPr="00D87BF8">
              <w:rPr>
                <w:rFonts w:cs="Arial"/>
                <w:bCs/>
                <w:sz w:val="21"/>
                <w:szCs w:val="21"/>
                <w:u w:val="single"/>
              </w:rPr>
              <w:t>Part A/B:</w:t>
            </w: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bCs/>
                <w:sz w:val="21"/>
                <w:szCs w:val="21"/>
              </w:rPr>
              <w:t>FY12</w:t>
            </w:r>
            <w:proofErr w:type="spellEnd"/>
            <w:r w:rsidRPr="00D87BF8">
              <w:rPr>
                <w:rFonts w:cs="Arial"/>
                <w:bCs/>
                <w:sz w:val="21"/>
                <w:szCs w:val="21"/>
              </w:rPr>
              <w:t>: $1,990,481</w:t>
            </w: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bCs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bCs/>
                <w:sz w:val="21"/>
                <w:szCs w:val="21"/>
              </w:rPr>
              <w:t>FY13</w:t>
            </w:r>
            <w:proofErr w:type="spellEnd"/>
            <w:r w:rsidRPr="00D87BF8">
              <w:rPr>
                <w:rFonts w:cs="Arial"/>
                <w:bCs/>
                <w:sz w:val="21"/>
                <w:szCs w:val="21"/>
              </w:rPr>
              <w:t>: $1,840,481</w:t>
            </w:r>
          </w:p>
          <w:p w:rsidR="006B1245" w:rsidRPr="00D87BF8" w:rsidRDefault="006B1245" w:rsidP="007637F6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</w:p>
          <w:p w:rsidR="00221D34" w:rsidRPr="00D87BF8" w:rsidRDefault="00221D34" w:rsidP="00221D3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  <w:u w:val="single"/>
              </w:rPr>
            </w:pPr>
            <w:r w:rsidRPr="00D87BF8">
              <w:rPr>
                <w:rFonts w:cs="Arial"/>
                <w:sz w:val="21"/>
                <w:szCs w:val="21"/>
                <w:u w:val="single"/>
              </w:rPr>
              <w:t>Part A</w:t>
            </w:r>
          </w:p>
          <w:p w:rsidR="00221D34" w:rsidRPr="00D87BF8" w:rsidRDefault="00221D34" w:rsidP="00221D3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  <w:proofErr w:type="spellStart"/>
            <w:r w:rsidRPr="00D87BF8">
              <w:rPr>
                <w:rFonts w:cs="Arial"/>
                <w:sz w:val="21"/>
                <w:szCs w:val="21"/>
              </w:rPr>
              <w:t>FY14</w:t>
            </w:r>
            <w:proofErr w:type="spellEnd"/>
            <w:r w:rsidRPr="00D87BF8">
              <w:rPr>
                <w:rFonts w:cs="Arial"/>
                <w:sz w:val="21"/>
                <w:szCs w:val="21"/>
              </w:rPr>
              <w:t>: $1,752,556</w:t>
            </w:r>
          </w:p>
          <w:p w:rsidR="000B0A5C" w:rsidRPr="00D87BF8" w:rsidRDefault="000B0A5C" w:rsidP="00221D3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  <w:r w:rsidRPr="00D87BF8">
              <w:rPr>
                <w:rFonts w:cs="Arial"/>
                <w:sz w:val="21"/>
                <w:szCs w:val="21"/>
              </w:rPr>
              <w:t>FY15: $2,031,556</w:t>
            </w:r>
          </w:p>
          <w:p w:rsidR="002728AF" w:rsidRPr="00D87BF8" w:rsidRDefault="002728AF" w:rsidP="00221D3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  <w:r w:rsidRPr="00D87BF8">
              <w:rPr>
                <w:rFonts w:cs="Arial"/>
                <w:sz w:val="21"/>
                <w:szCs w:val="21"/>
              </w:rPr>
              <w:t>FY16: $2,215,702</w:t>
            </w:r>
          </w:p>
          <w:p w:rsidR="00BE035A" w:rsidRPr="00D87BF8" w:rsidRDefault="00BE035A" w:rsidP="00BE035A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  <w:r w:rsidRPr="00D87BF8">
              <w:rPr>
                <w:rFonts w:cs="Arial"/>
                <w:sz w:val="21"/>
                <w:szCs w:val="21"/>
              </w:rPr>
              <w:t>FY17: $2,215,702</w:t>
            </w:r>
          </w:p>
          <w:p w:rsidR="009147D4" w:rsidRPr="00D87BF8" w:rsidRDefault="009147D4" w:rsidP="009147D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  <w:r w:rsidRPr="00D87BF8">
              <w:rPr>
                <w:rFonts w:cs="Arial"/>
                <w:sz w:val="21"/>
                <w:szCs w:val="21"/>
              </w:rPr>
              <w:t>FY18: $2,855,902</w:t>
            </w:r>
          </w:p>
          <w:p w:rsidR="00221D34" w:rsidRPr="00D87BF8" w:rsidRDefault="00221D34" w:rsidP="00221D34">
            <w:pPr>
              <w:tabs>
                <w:tab w:val="left" w:pos="-720"/>
              </w:tabs>
              <w:suppressAutoHyphens/>
              <w:rPr>
                <w:rFonts w:cs="Arial"/>
                <w:sz w:val="21"/>
                <w:szCs w:val="21"/>
              </w:rPr>
            </w:pPr>
          </w:p>
          <w:p w:rsidR="00E37535" w:rsidRPr="00D87BF8" w:rsidRDefault="00E37535" w:rsidP="00E37535">
            <w:pPr>
              <w:rPr>
                <w:rFonts w:cs="Arial"/>
                <w:sz w:val="14"/>
                <w:szCs w:val="14"/>
              </w:rPr>
            </w:pPr>
            <w:r w:rsidRPr="00D87BF8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D87BF8">
              <w:rPr>
                <w:rFonts w:cs="Arial"/>
                <w:sz w:val="14"/>
                <w:szCs w:val="14"/>
              </w:rPr>
              <w:t xml:space="preserve">: </w:t>
            </w:r>
          </w:p>
          <w:p w:rsidR="006B1245" w:rsidRPr="00D87BF8" w:rsidRDefault="00E37535" w:rsidP="00E37535">
            <w:pPr>
              <w:rPr>
                <w:rFonts w:cs="Arial"/>
                <w:sz w:val="21"/>
                <w:szCs w:val="21"/>
              </w:rPr>
            </w:pPr>
            <w:r w:rsidRPr="00D87BF8">
              <w:rPr>
                <w:rFonts w:cs="Arial"/>
                <w:sz w:val="14"/>
                <w:szCs w:val="14"/>
              </w:rPr>
              <w:t>FY 2018 Allocations - Level Funding Scenario Based  - Approved 07/13/17</w:t>
            </w:r>
          </w:p>
        </w:tc>
        <w:tc>
          <w:tcPr>
            <w:tcW w:w="5636" w:type="dxa"/>
          </w:tcPr>
          <w:p w:rsidR="006B1245" w:rsidRPr="00D87BF8" w:rsidRDefault="006B1245" w:rsidP="007637F6">
            <w:pPr>
              <w:tabs>
                <w:tab w:val="left" w:pos="670"/>
              </w:tabs>
              <w:ind w:left="-182"/>
              <w:jc w:val="both"/>
              <w:rPr>
                <w:rFonts w:cs="Arial"/>
                <w:sz w:val="21"/>
                <w:szCs w:val="21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890606">
            <w:pPr>
              <w:ind w:right="61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890606" w:rsidRPr="00D87BF8" w:rsidRDefault="00890606" w:rsidP="007637F6">
            <w:pPr>
              <w:ind w:left="1231" w:right="61"/>
              <w:jc w:val="right"/>
              <w:rPr>
                <w:sz w:val="14"/>
                <w:szCs w:val="14"/>
              </w:rPr>
            </w:pPr>
          </w:p>
          <w:p w:rsidR="006B1245" w:rsidRPr="00D87BF8" w:rsidRDefault="006B1245" w:rsidP="007637F6">
            <w:pPr>
              <w:rPr>
                <w:sz w:val="21"/>
                <w:szCs w:val="21"/>
              </w:rPr>
            </w:pPr>
            <w:r w:rsidRPr="00D87BF8">
              <w:rPr>
                <w:sz w:val="16"/>
                <w:szCs w:val="16"/>
              </w:rPr>
              <w:tab/>
              <w:t xml:space="preserve"> </w:t>
            </w:r>
          </w:p>
          <w:p w:rsidR="00F40A15" w:rsidRPr="00D87BF8" w:rsidRDefault="00F40A15" w:rsidP="00F40A15">
            <w:pPr>
              <w:rPr>
                <w:rFonts w:cs="Arial"/>
                <w:sz w:val="14"/>
                <w:szCs w:val="14"/>
              </w:rPr>
            </w:pPr>
            <w:r w:rsidRPr="00D87BF8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D87BF8">
              <w:rPr>
                <w:rFonts w:cs="Arial"/>
                <w:sz w:val="14"/>
                <w:szCs w:val="14"/>
              </w:rPr>
              <w:t xml:space="preserve">: </w:t>
            </w:r>
          </w:p>
          <w:p w:rsidR="006B1245" w:rsidRPr="00D87BF8" w:rsidRDefault="00F40A15" w:rsidP="00F40A15">
            <w:pPr>
              <w:pStyle w:val="Default"/>
              <w:rPr>
                <w:rFonts w:ascii="Arial Narrow" w:hAnsi="Arial Narrow" w:cs="Arial"/>
                <w:sz w:val="14"/>
                <w:szCs w:val="14"/>
              </w:rPr>
            </w:pPr>
            <w:r w:rsidRPr="00D87BF8">
              <w:rPr>
                <w:rFonts w:ascii="Arial Narrow" w:hAnsi="Arial Narrow" w:cs="Arial"/>
                <w:sz w:val="14"/>
                <w:szCs w:val="14"/>
              </w:rPr>
              <w:t>R</w:t>
            </w:r>
            <w:r w:rsidR="0046569C" w:rsidRPr="00D87BF8">
              <w:rPr>
                <w:rFonts w:ascii="Arial Narrow" w:hAnsi="Arial Narrow" w:cs="Arial"/>
                <w:sz w:val="14"/>
                <w:szCs w:val="14"/>
              </w:rPr>
              <w:t>WGA and The Resource Group, 4/23</w:t>
            </w:r>
            <w:r w:rsidRPr="00D87BF8">
              <w:rPr>
                <w:rFonts w:ascii="Arial Narrow" w:hAnsi="Arial Narrow" w:cs="Arial"/>
                <w:sz w:val="14"/>
                <w:szCs w:val="14"/>
              </w:rPr>
              <w:t>/1</w:t>
            </w:r>
            <w:r w:rsidR="0046569C" w:rsidRPr="00D87BF8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3060" w:type="dxa"/>
          </w:tcPr>
          <w:p w:rsidR="006B1245" w:rsidRPr="00370762" w:rsidRDefault="006B1245" w:rsidP="007637F6">
            <w:pPr>
              <w:rPr>
                <w:rFonts w:cs="Arial"/>
                <w:sz w:val="21"/>
                <w:szCs w:val="21"/>
                <w:u w:val="single"/>
              </w:rPr>
            </w:pPr>
            <w:r w:rsidRPr="00370762">
              <w:rPr>
                <w:rFonts w:cs="Arial"/>
                <w:sz w:val="21"/>
                <w:szCs w:val="21"/>
                <w:u w:val="single"/>
              </w:rPr>
              <w:t>Medical Case Management (MCM):</w:t>
            </w:r>
          </w:p>
          <w:p w:rsidR="006B1245" w:rsidRPr="00370762" w:rsidRDefault="005D1BA6" w:rsidP="006D6030">
            <w:pPr>
              <w:pStyle w:val="ListParagraph"/>
              <w:numPr>
                <w:ilvl w:val="0"/>
                <w:numId w:val="15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>Following MCM, 50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% of clients </w:t>
            </w:r>
            <w:r w:rsidR="008B1740" w:rsidRPr="00370762">
              <w:rPr>
                <w:rFonts w:cs="Arial"/>
                <w:sz w:val="21"/>
                <w:szCs w:val="21"/>
              </w:rPr>
              <w:t>were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 in continuous HIV care (i.e., two or more primary care visi</w:t>
            </w:r>
            <w:r w:rsidR="008B1740" w:rsidRPr="00370762">
              <w:rPr>
                <w:rFonts w:cs="Arial"/>
                <w:sz w:val="21"/>
                <w:szCs w:val="21"/>
              </w:rPr>
              <w:t>ts at lea</w:t>
            </w:r>
            <w:r w:rsidRPr="00370762">
              <w:rPr>
                <w:rFonts w:cs="Arial"/>
                <w:sz w:val="21"/>
                <w:szCs w:val="21"/>
              </w:rPr>
              <w:t>st three months apart), and 3</w:t>
            </w:r>
            <w:r w:rsidR="008B1740" w:rsidRPr="00370762">
              <w:rPr>
                <w:rFonts w:cs="Arial"/>
                <w:sz w:val="21"/>
                <w:szCs w:val="21"/>
              </w:rPr>
              <w:t>% accessed primary care for the first time.</w:t>
            </w:r>
          </w:p>
          <w:p w:rsidR="006B1245" w:rsidRPr="00370762" w:rsidRDefault="00370762" w:rsidP="006D6030">
            <w:pPr>
              <w:pStyle w:val="ListParagraph"/>
              <w:numPr>
                <w:ilvl w:val="0"/>
                <w:numId w:val="15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>Following MCM, 38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% of clients </w:t>
            </w:r>
            <w:r w:rsidR="00F96911" w:rsidRPr="00370762">
              <w:rPr>
                <w:rFonts w:cs="Arial"/>
                <w:sz w:val="21"/>
                <w:szCs w:val="21"/>
              </w:rPr>
              <w:t>had 3</w:t>
            </w:r>
            <w:r w:rsidR="00F96911" w:rsidRPr="00370762">
              <w:rPr>
                <w:rFonts w:cs="Arial"/>
                <w:sz w:val="21"/>
                <w:szCs w:val="21"/>
                <w:vertAlign w:val="superscript"/>
              </w:rPr>
              <w:t>rd</w:t>
            </w:r>
            <w:r w:rsidR="00F96911" w:rsidRPr="00370762">
              <w:rPr>
                <w:rFonts w:cs="Arial"/>
                <w:sz w:val="21"/>
                <w:szCs w:val="21"/>
              </w:rPr>
              <w:t xml:space="preserve"> party payer cover</w:t>
            </w:r>
            <w:r w:rsidRPr="00370762">
              <w:rPr>
                <w:rFonts w:cs="Arial"/>
                <w:sz w:val="21"/>
                <w:szCs w:val="21"/>
              </w:rPr>
              <w:t>age, and 5</w:t>
            </w:r>
            <w:r w:rsidR="008B1740" w:rsidRPr="00370762">
              <w:rPr>
                <w:rFonts w:cs="Arial"/>
                <w:sz w:val="21"/>
                <w:szCs w:val="21"/>
              </w:rPr>
              <w:t>%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 accessed mental health services </w:t>
            </w:r>
            <w:r w:rsidR="00F96911" w:rsidRPr="00370762">
              <w:rPr>
                <w:rFonts w:cs="Arial"/>
                <w:sz w:val="21"/>
                <w:szCs w:val="21"/>
              </w:rPr>
              <w:t>for the first time</w:t>
            </w:r>
            <w:r w:rsidR="006B1245" w:rsidRPr="00370762">
              <w:rPr>
                <w:rFonts w:cs="Arial"/>
                <w:sz w:val="21"/>
                <w:szCs w:val="21"/>
              </w:rPr>
              <w:t>.</w:t>
            </w:r>
          </w:p>
          <w:p w:rsidR="006B1245" w:rsidRPr="00370762" w:rsidRDefault="00370762" w:rsidP="006D6030">
            <w:pPr>
              <w:pStyle w:val="ListParagraph"/>
              <w:numPr>
                <w:ilvl w:val="0"/>
                <w:numId w:val="15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>68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% of MCM clients had </w:t>
            </w:r>
            <w:r w:rsidR="008B1740" w:rsidRPr="00370762">
              <w:rPr>
                <w:rFonts w:cs="Arial"/>
                <w:sz w:val="21"/>
                <w:szCs w:val="21"/>
              </w:rPr>
              <w:t>suppressed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 viral load</w:t>
            </w:r>
            <w:r w:rsidR="008C2718" w:rsidRPr="00370762">
              <w:rPr>
                <w:rFonts w:cs="Arial"/>
                <w:sz w:val="21"/>
                <w:szCs w:val="21"/>
              </w:rPr>
              <w:t>s</w:t>
            </w:r>
            <w:r w:rsidR="006B1245" w:rsidRPr="00370762">
              <w:rPr>
                <w:rFonts w:cs="Arial"/>
                <w:sz w:val="21"/>
                <w:szCs w:val="21"/>
              </w:rPr>
              <w:t>.</w:t>
            </w:r>
          </w:p>
          <w:p w:rsidR="006B1245" w:rsidRPr="00370762" w:rsidRDefault="006B1245" w:rsidP="007637F6">
            <w:pPr>
              <w:pStyle w:val="ListParagraph"/>
              <w:ind w:left="241"/>
              <w:rPr>
                <w:rFonts w:cs="Arial"/>
                <w:sz w:val="16"/>
                <w:szCs w:val="16"/>
              </w:rPr>
            </w:pPr>
          </w:p>
          <w:p w:rsidR="006B1245" w:rsidRPr="00370762" w:rsidRDefault="006B1245" w:rsidP="007637F6">
            <w:pPr>
              <w:rPr>
                <w:rFonts w:cs="Arial"/>
                <w:sz w:val="21"/>
                <w:szCs w:val="21"/>
                <w:u w:val="single"/>
              </w:rPr>
            </w:pPr>
            <w:r w:rsidRPr="00370762">
              <w:rPr>
                <w:rFonts w:cs="Arial"/>
                <w:sz w:val="21"/>
                <w:szCs w:val="21"/>
                <w:u w:val="single"/>
              </w:rPr>
              <w:t>Clinical Case Management (</w:t>
            </w:r>
            <w:proofErr w:type="spellStart"/>
            <w:r w:rsidRPr="00370762">
              <w:rPr>
                <w:rFonts w:cs="Arial"/>
                <w:sz w:val="21"/>
                <w:szCs w:val="21"/>
                <w:u w:val="single"/>
              </w:rPr>
              <w:t>CCM</w:t>
            </w:r>
            <w:proofErr w:type="spellEnd"/>
            <w:r w:rsidRPr="00370762">
              <w:rPr>
                <w:rFonts w:cs="Arial"/>
                <w:sz w:val="21"/>
                <w:szCs w:val="21"/>
                <w:u w:val="single"/>
              </w:rPr>
              <w:t>):</w:t>
            </w:r>
          </w:p>
          <w:p w:rsidR="006B1245" w:rsidRPr="00370762" w:rsidRDefault="005D1BA6" w:rsidP="006D6030">
            <w:pPr>
              <w:pStyle w:val="ListParagraph"/>
              <w:numPr>
                <w:ilvl w:val="0"/>
                <w:numId w:val="28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 xml:space="preserve">Following </w:t>
            </w:r>
            <w:proofErr w:type="spellStart"/>
            <w:r w:rsidRPr="00370762">
              <w:rPr>
                <w:rFonts w:cs="Arial"/>
                <w:sz w:val="21"/>
                <w:szCs w:val="21"/>
              </w:rPr>
              <w:t>CCM</w:t>
            </w:r>
            <w:proofErr w:type="spellEnd"/>
            <w:r w:rsidRPr="00370762">
              <w:rPr>
                <w:rFonts w:cs="Arial"/>
                <w:sz w:val="21"/>
                <w:szCs w:val="21"/>
              </w:rPr>
              <w:t>, 49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% of clients were in continuous HIV care (i.e., two or more primary care visits at </w:t>
            </w:r>
            <w:r w:rsidR="00F96911" w:rsidRPr="00370762">
              <w:rPr>
                <w:rFonts w:cs="Arial"/>
                <w:sz w:val="21"/>
                <w:szCs w:val="21"/>
              </w:rPr>
              <w:t xml:space="preserve">least three months apart), </w:t>
            </w:r>
            <w:r w:rsidRPr="00370762">
              <w:rPr>
                <w:rFonts w:cs="Arial"/>
                <w:sz w:val="21"/>
                <w:szCs w:val="21"/>
              </w:rPr>
              <w:t>and 2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% accessed primary care for the first time. </w:t>
            </w:r>
          </w:p>
          <w:p w:rsidR="006B1245" w:rsidRPr="00370762" w:rsidRDefault="005D1BA6" w:rsidP="006D6030">
            <w:pPr>
              <w:pStyle w:val="ListParagraph"/>
              <w:numPr>
                <w:ilvl w:val="0"/>
                <w:numId w:val="28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 xml:space="preserve">Following </w:t>
            </w:r>
            <w:proofErr w:type="spellStart"/>
            <w:r w:rsidRPr="00370762">
              <w:rPr>
                <w:rFonts w:cs="Arial"/>
                <w:sz w:val="21"/>
                <w:szCs w:val="21"/>
              </w:rPr>
              <w:t>CCM</w:t>
            </w:r>
            <w:proofErr w:type="spellEnd"/>
            <w:r w:rsidRPr="00370762">
              <w:rPr>
                <w:rFonts w:cs="Arial"/>
                <w:sz w:val="21"/>
                <w:szCs w:val="21"/>
              </w:rPr>
              <w:t>, 8</w:t>
            </w:r>
            <w:r w:rsidR="00F96911" w:rsidRPr="00370762">
              <w:rPr>
                <w:rFonts w:cs="Arial"/>
                <w:sz w:val="21"/>
                <w:szCs w:val="21"/>
              </w:rPr>
              <w:t>% of clients</w:t>
            </w:r>
            <w:r w:rsidR="008C2718" w:rsidRPr="00370762">
              <w:rPr>
                <w:rFonts w:cs="Arial"/>
                <w:sz w:val="21"/>
                <w:szCs w:val="21"/>
              </w:rPr>
              <w:t xml:space="preserve"> </w:t>
            </w:r>
            <w:r w:rsidR="006B1245" w:rsidRPr="00370762">
              <w:rPr>
                <w:rFonts w:cs="Arial"/>
                <w:sz w:val="21"/>
                <w:szCs w:val="21"/>
              </w:rPr>
              <w:t xml:space="preserve">accessed mental health services </w:t>
            </w:r>
            <w:r w:rsidR="00F96911" w:rsidRPr="00370762">
              <w:rPr>
                <w:rFonts w:cs="Arial"/>
                <w:sz w:val="21"/>
                <w:szCs w:val="21"/>
              </w:rPr>
              <w:t>for the first time</w:t>
            </w:r>
            <w:r w:rsidR="006B1245" w:rsidRPr="00370762">
              <w:rPr>
                <w:rFonts w:cs="Arial"/>
                <w:sz w:val="21"/>
                <w:szCs w:val="21"/>
              </w:rPr>
              <w:t>.</w:t>
            </w:r>
          </w:p>
          <w:p w:rsidR="006B1245" w:rsidRPr="00370762" w:rsidRDefault="005D1BA6" w:rsidP="006D6030">
            <w:pPr>
              <w:pStyle w:val="ListParagraph"/>
              <w:numPr>
                <w:ilvl w:val="0"/>
                <w:numId w:val="28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370762">
              <w:rPr>
                <w:rFonts w:cs="Arial"/>
                <w:sz w:val="21"/>
                <w:szCs w:val="21"/>
              </w:rPr>
              <w:t>69</w:t>
            </w:r>
            <w:r w:rsidR="008C2718" w:rsidRPr="00370762">
              <w:rPr>
                <w:rFonts w:cs="Arial"/>
                <w:sz w:val="21"/>
                <w:szCs w:val="21"/>
              </w:rPr>
              <w:t xml:space="preserve">% of </w:t>
            </w:r>
            <w:proofErr w:type="spellStart"/>
            <w:r w:rsidR="008C2718" w:rsidRPr="00370762">
              <w:rPr>
                <w:rFonts w:cs="Arial"/>
                <w:sz w:val="21"/>
                <w:szCs w:val="21"/>
              </w:rPr>
              <w:t>CCM</w:t>
            </w:r>
            <w:proofErr w:type="spellEnd"/>
            <w:r w:rsidR="008C2718" w:rsidRPr="00370762">
              <w:rPr>
                <w:rFonts w:cs="Arial"/>
                <w:sz w:val="21"/>
                <w:szCs w:val="21"/>
              </w:rPr>
              <w:t xml:space="preserve"> clients had suppressed viral loads</w:t>
            </w:r>
          </w:p>
          <w:p w:rsidR="008C2718" w:rsidRPr="00370762" w:rsidRDefault="008C2718" w:rsidP="008C2718">
            <w:pPr>
              <w:pStyle w:val="ListParagraph"/>
              <w:ind w:left="241"/>
              <w:rPr>
                <w:rFonts w:cs="Arial"/>
                <w:sz w:val="21"/>
                <w:szCs w:val="21"/>
              </w:rPr>
            </w:pPr>
          </w:p>
          <w:p w:rsidR="006B1245" w:rsidRPr="00370762" w:rsidRDefault="006B1245" w:rsidP="007637F6">
            <w:pPr>
              <w:rPr>
                <w:rFonts w:cs="Arial"/>
                <w:sz w:val="14"/>
                <w:szCs w:val="14"/>
              </w:rPr>
            </w:pPr>
            <w:r w:rsidRPr="00370762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370762">
              <w:rPr>
                <w:rFonts w:cs="Arial"/>
                <w:sz w:val="14"/>
                <w:szCs w:val="14"/>
              </w:rPr>
              <w:t xml:space="preserve">: </w:t>
            </w:r>
          </w:p>
          <w:p w:rsidR="006B1245" w:rsidRPr="00136CF4" w:rsidRDefault="008B1740" w:rsidP="005D1BA6">
            <w:pPr>
              <w:pStyle w:val="Default"/>
              <w:rPr>
                <w:rFonts w:ascii="Arial Narrow" w:hAnsi="Arial Narrow" w:cs="Arial"/>
                <w:sz w:val="14"/>
                <w:szCs w:val="14"/>
                <w:highlight w:val="yellow"/>
              </w:rPr>
            </w:pPr>
            <w:r w:rsidRPr="00370762">
              <w:rPr>
                <w:rFonts w:ascii="Arial Narrow" w:hAnsi="Arial Narrow" w:cs="Arial"/>
                <w:sz w:val="14"/>
                <w:szCs w:val="14"/>
              </w:rPr>
              <w:t xml:space="preserve">RWGA </w:t>
            </w:r>
            <w:r w:rsidR="00F96911" w:rsidRPr="00370762">
              <w:rPr>
                <w:rFonts w:ascii="Arial Narrow" w:hAnsi="Arial Narrow" w:cs="Arial"/>
                <w:sz w:val="14"/>
                <w:szCs w:val="14"/>
              </w:rPr>
              <w:t>FY 201</w:t>
            </w:r>
            <w:r w:rsidR="005D1BA6" w:rsidRPr="00370762">
              <w:rPr>
                <w:rFonts w:ascii="Arial Narrow" w:hAnsi="Arial Narrow" w:cs="Arial"/>
                <w:sz w:val="14"/>
                <w:szCs w:val="14"/>
              </w:rPr>
              <w:t>6</w:t>
            </w:r>
            <w:r w:rsidR="00F96911" w:rsidRPr="00370762">
              <w:rPr>
                <w:rFonts w:ascii="Arial Narrow" w:hAnsi="Arial Narrow" w:cs="Arial"/>
                <w:sz w:val="14"/>
                <w:szCs w:val="14"/>
              </w:rPr>
              <w:t xml:space="preserve"> Highlights from Performance Measures</w:t>
            </w:r>
          </w:p>
        </w:tc>
        <w:tc>
          <w:tcPr>
            <w:tcW w:w="4140" w:type="dxa"/>
          </w:tcPr>
          <w:p w:rsidR="006B1245" w:rsidRPr="006B3C83" w:rsidRDefault="006B1245" w:rsidP="007637F6">
            <w:pPr>
              <w:pStyle w:val="Heading4"/>
              <w:spacing w:before="0" w:after="0"/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</w:pP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  <w:u w:val="single"/>
              </w:rPr>
              <w:t>Needs Assessment Rankings</w:t>
            </w: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>:</w:t>
            </w:r>
          </w:p>
          <w:p w:rsidR="007637F6" w:rsidRPr="006B3C83" w:rsidRDefault="007637F6" w:rsidP="007637F6">
            <w:pPr>
              <w:rPr>
                <w:sz w:val="6"/>
                <w:szCs w:val="6"/>
              </w:rPr>
            </w:pPr>
          </w:p>
          <w:p w:rsidR="007637F6" w:rsidRPr="006B3C83" w:rsidRDefault="007637F6" w:rsidP="007637F6">
            <w:pPr>
              <w:pStyle w:val="Heading4"/>
              <w:spacing w:before="0" w:after="0"/>
              <w:rPr>
                <w:rFonts w:ascii="Arial Narrow" w:hAnsi="Arial Narrow" w:cs="Arial"/>
                <w:b w:val="0"/>
                <w:sz w:val="21"/>
                <w:szCs w:val="21"/>
              </w:rPr>
            </w:pP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 xml:space="preserve">Medical, Clinical, and </w:t>
            </w:r>
            <w:proofErr w:type="spellStart"/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>SLW</w:t>
            </w:r>
            <w:proofErr w:type="spellEnd"/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 xml:space="preserve"> Case Management were not each surveyed </w:t>
            </w:r>
            <w:r w:rsidRPr="006B3C83">
              <w:rPr>
                <w:rFonts w:ascii="Arial Narrow" w:hAnsi="Arial Narrow" w:cs="Arial"/>
                <w:b w:val="0"/>
                <w:i/>
                <w:color w:val="000000"/>
                <w:sz w:val="21"/>
                <w:szCs w:val="21"/>
              </w:rPr>
              <w:t>explicitly</w:t>
            </w: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 xml:space="preserve"> in the 201</w:t>
            </w:r>
            <w:r w:rsidR="000645B3"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>6</w:t>
            </w: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 xml:space="preserve"> Needs Assessment</w:t>
            </w:r>
            <w:r w:rsidR="00D11057"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>, but rather as</w:t>
            </w:r>
            <w:r w:rsidRPr="006B3C83">
              <w:rPr>
                <w:rFonts w:ascii="Arial Narrow" w:hAnsi="Arial Narrow" w:cs="Arial"/>
                <w:b w:val="0"/>
                <w:color w:val="000000"/>
                <w:sz w:val="21"/>
                <w:szCs w:val="21"/>
              </w:rPr>
              <w:t xml:space="preserve"> </w:t>
            </w:r>
            <w:r w:rsidRPr="006B3C83">
              <w:rPr>
                <w:rFonts w:ascii="Arial Narrow" w:hAnsi="Arial Narrow" w:cs="Arial"/>
                <w:b w:val="0"/>
                <w:bCs w:val="0"/>
                <w:sz w:val="21"/>
                <w:szCs w:val="21"/>
              </w:rPr>
              <w:t>a general category entitled</w:t>
            </w:r>
            <w:r w:rsidRPr="006B3C83">
              <w:rPr>
                <w:rFonts w:ascii="Arial Narrow" w:hAnsi="Arial Narrow" w:cs="Arial"/>
                <w:b w:val="0"/>
                <w:sz w:val="21"/>
                <w:szCs w:val="21"/>
              </w:rPr>
              <w:t xml:space="preserve"> “Case Management” and defined as: “</w:t>
            </w:r>
            <w:r w:rsidRPr="006B3C83">
              <w:rPr>
                <w:rFonts w:ascii="Arial Narrow" w:hAnsi="Arial Narrow" w:cs="Arial"/>
                <w:b w:val="0"/>
                <w:i/>
                <w:sz w:val="21"/>
                <w:szCs w:val="21"/>
              </w:rPr>
              <w:t>these are people at your clinic or program who assess your needs, make referrals for you, and help you make/keep appointments.</w:t>
            </w:r>
            <w:r w:rsidRPr="006B3C83">
              <w:rPr>
                <w:rFonts w:ascii="Arial Narrow" w:hAnsi="Arial Narrow" w:cs="Arial"/>
                <w:b w:val="0"/>
                <w:sz w:val="21"/>
                <w:szCs w:val="21"/>
              </w:rPr>
              <w:t>” Results as defined are below:</w:t>
            </w:r>
          </w:p>
          <w:p w:rsidR="007637F6" w:rsidRPr="006B3C83" w:rsidRDefault="007637F6" w:rsidP="007637F6">
            <w:pPr>
              <w:rPr>
                <w:sz w:val="21"/>
                <w:szCs w:val="21"/>
              </w:rPr>
            </w:pPr>
          </w:p>
          <w:p w:rsidR="007637F6" w:rsidRPr="006B3C83" w:rsidRDefault="00890606" w:rsidP="006D6030">
            <w:pPr>
              <w:numPr>
                <w:ilvl w:val="0"/>
                <w:numId w:val="16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6B3C83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586048" behindDoc="1" locked="0" layoutInCell="1" allowOverlap="1" wp14:anchorId="403CC9BA" wp14:editId="7713B79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-148590</wp:posOffset>
                  </wp:positionV>
                  <wp:extent cx="2604770" cy="1753870"/>
                  <wp:effectExtent l="0" t="0" r="5080" b="0"/>
                  <wp:wrapTight wrapText="bothSides">
                    <wp:wrapPolygon edited="1">
                      <wp:start x="0" y="620"/>
                      <wp:lineTo x="0" y="11992"/>
                      <wp:lineTo x="1638" y="14267"/>
                      <wp:lineTo x="2293" y="14267"/>
                      <wp:lineTo x="2293" y="16748"/>
                      <wp:lineTo x="4259" y="17575"/>
                      <wp:lineTo x="10811" y="17575"/>
                      <wp:lineTo x="17363" y="19022"/>
                      <wp:lineTo x="20639" y="19022"/>
                      <wp:lineTo x="20967" y="17989"/>
                      <wp:lineTo x="19329" y="17989"/>
                      <wp:lineTo x="21458" y="17161"/>
                      <wp:lineTo x="21458" y="13646"/>
                      <wp:lineTo x="21600" y="13510"/>
                      <wp:lineTo x="21600" y="12927"/>
                      <wp:lineTo x="20148" y="9098"/>
                      <wp:lineTo x="21600" y="11734"/>
                      <wp:lineTo x="21600" y="9989"/>
                      <wp:lineTo x="21600" y="8340"/>
                      <wp:lineTo x="21600" y="5673"/>
                      <wp:lineTo x="21600" y="1757"/>
                      <wp:lineTo x="21600" y="1861"/>
                      <wp:lineTo x="21936" y="703"/>
                      <wp:lineTo x="0" y="620"/>
                    </wp:wrapPolygon>
                  </wp:wrapTight>
                  <wp:docPr id="9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442" w:rsidRPr="006B3C83">
              <w:rPr>
                <w:rFonts w:cs="Arial"/>
                <w:sz w:val="21"/>
                <w:szCs w:val="21"/>
              </w:rPr>
              <w:t>83</w:t>
            </w:r>
            <w:r w:rsidR="007637F6" w:rsidRPr="006B3C83">
              <w:rPr>
                <w:rFonts w:cs="Arial"/>
                <w:sz w:val="21"/>
                <w:szCs w:val="21"/>
              </w:rPr>
              <w:t>% of respondents reported a need for case management services, placing it as the 2</w:t>
            </w:r>
            <w:r w:rsidR="007637F6" w:rsidRPr="006B3C83">
              <w:rPr>
                <w:rFonts w:cs="Arial"/>
                <w:sz w:val="21"/>
                <w:szCs w:val="21"/>
                <w:vertAlign w:val="superscript"/>
              </w:rPr>
              <w:t>nd</w:t>
            </w:r>
            <w:r w:rsidR="007637F6" w:rsidRPr="006B3C83">
              <w:rPr>
                <w:rFonts w:cs="Arial"/>
                <w:sz w:val="21"/>
                <w:szCs w:val="21"/>
              </w:rPr>
              <w:t xml:space="preserve"> highest ranked need.</w:t>
            </w:r>
          </w:p>
          <w:p w:rsidR="007637F6" w:rsidRPr="006B3C83" w:rsidRDefault="007637F6" w:rsidP="006D6030">
            <w:pPr>
              <w:numPr>
                <w:ilvl w:val="0"/>
                <w:numId w:val="16"/>
              </w:numPr>
              <w:ind w:left="241" w:hanging="241"/>
              <w:rPr>
                <w:rFonts w:cs="Arial"/>
                <w:sz w:val="21"/>
                <w:szCs w:val="21"/>
              </w:rPr>
            </w:pPr>
            <w:r w:rsidRPr="006B3C83">
              <w:rPr>
                <w:rFonts w:cs="Arial"/>
                <w:sz w:val="21"/>
                <w:szCs w:val="21"/>
              </w:rPr>
              <w:t xml:space="preserve">The most common barrier reported was </w:t>
            </w:r>
            <w:r w:rsidR="00B00442" w:rsidRPr="006B3C83">
              <w:rPr>
                <w:rFonts w:cs="Arial"/>
                <w:sz w:val="21"/>
                <w:szCs w:val="21"/>
              </w:rPr>
              <w:t xml:space="preserve">interactions with staff </w:t>
            </w:r>
            <w:r w:rsidRPr="006B3C83">
              <w:rPr>
                <w:rFonts w:cs="Arial"/>
                <w:sz w:val="21"/>
                <w:szCs w:val="21"/>
              </w:rPr>
              <w:t>(</w:t>
            </w:r>
            <w:r w:rsidR="00B00442" w:rsidRPr="006B3C83">
              <w:rPr>
                <w:rFonts w:cs="Arial"/>
                <w:sz w:val="21"/>
                <w:szCs w:val="21"/>
              </w:rPr>
              <w:t>54</w:t>
            </w:r>
            <w:r w:rsidRPr="006B3C83">
              <w:rPr>
                <w:rFonts w:cs="Arial"/>
                <w:sz w:val="21"/>
                <w:szCs w:val="21"/>
              </w:rPr>
              <w:t>%</w:t>
            </w:r>
            <w:r w:rsidR="00B00442" w:rsidRPr="006B3C83">
              <w:rPr>
                <w:rFonts w:cs="Arial"/>
                <w:sz w:val="21"/>
                <w:szCs w:val="21"/>
              </w:rPr>
              <w:t xml:space="preserve"> of all barriers reported for case management</w:t>
            </w:r>
            <w:r w:rsidRPr="006B3C83">
              <w:rPr>
                <w:rFonts w:cs="Arial"/>
                <w:sz w:val="21"/>
                <w:szCs w:val="21"/>
              </w:rPr>
              <w:t>).</w:t>
            </w:r>
          </w:p>
          <w:p w:rsidR="007637F6" w:rsidRPr="006B3C83" w:rsidRDefault="007637F6" w:rsidP="007637F6">
            <w:pPr>
              <w:pStyle w:val="Heading4"/>
              <w:spacing w:before="0" w:after="0"/>
              <w:rPr>
                <w:rFonts w:ascii="Arial Narrow" w:hAnsi="Arial Narrow" w:cs="Arial"/>
                <w:b w:val="0"/>
                <w:color w:val="000000"/>
                <w:sz w:val="6"/>
                <w:szCs w:val="6"/>
                <w:u w:val="single"/>
              </w:rPr>
            </w:pPr>
          </w:p>
          <w:p w:rsidR="007637F6" w:rsidRPr="006B3C83" w:rsidRDefault="00B00442" w:rsidP="006D6030">
            <w:pPr>
              <w:numPr>
                <w:ilvl w:val="0"/>
                <w:numId w:val="16"/>
              </w:numPr>
              <w:ind w:left="252" w:hanging="252"/>
              <w:rPr>
                <w:rFonts w:cs="Arial"/>
                <w:sz w:val="21"/>
                <w:szCs w:val="21"/>
              </w:rPr>
            </w:pPr>
            <w:r w:rsidRPr="006B3C83">
              <w:rPr>
                <w:rFonts w:cs="Arial"/>
                <w:sz w:val="21"/>
                <w:szCs w:val="21"/>
              </w:rPr>
              <w:t xml:space="preserve">Females, other/multiracial PLWH, and PLWH ages 25-49 </w:t>
            </w:r>
            <w:r w:rsidR="007637F6" w:rsidRPr="006B3C83">
              <w:rPr>
                <w:rFonts w:cs="Arial"/>
                <w:sz w:val="21"/>
                <w:szCs w:val="21"/>
              </w:rPr>
              <w:t>reported the least difficulty accessing case management services.</w:t>
            </w:r>
          </w:p>
          <w:p w:rsidR="007637F6" w:rsidRPr="006B3C83" w:rsidRDefault="00B00442" w:rsidP="006D6030">
            <w:pPr>
              <w:numPr>
                <w:ilvl w:val="0"/>
                <w:numId w:val="16"/>
              </w:numPr>
              <w:ind w:left="252" w:hanging="252"/>
              <w:rPr>
                <w:rFonts w:cs="Arial"/>
                <w:sz w:val="21"/>
                <w:szCs w:val="21"/>
              </w:rPr>
            </w:pPr>
            <w:r w:rsidRPr="006B3C83">
              <w:rPr>
                <w:rFonts w:cs="Arial"/>
                <w:sz w:val="21"/>
                <w:szCs w:val="21"/>
              </w:rPr>
              <w:t>MSM</w:t>
            </w:r>
            <w:r w:rsidR="007637F6" w:rsidRPr="006B3C83">
              <w:rPr>
                <w:rFonts w:cs="Arial"/>
                <w:sz w:val="21"/>
                <w:szCs w:val="21"/>
              </w:rPr>
              <w:t xml:space="preserve"> PLWH</w:t>
            </w:r>
            <w:r w:rsidRPr="006B3C83">
              <w:rPr>
                <w:rFonts w:cs="Arial"/>
                <w:sz w:val="21"/>
                <w:szCs w:val="21"/>
              </w:rPr>
              <w:t xml:space="preserve"> reported more</w:t>
            </w:r>
            <w:r w:rsidR="007637F6" w:rsidRPr="006B3C83">
              <w:rPr>
                <w:rFonts w:cs="Arial"/>
                <w:sz w:val="21"/>
                <w:szCs w:val="21"/>
              </w:rPr>
              <w:t xml:space="preserve"> difficulty acc</w:t>
            </w:r>
            <w:r w:rsidRPr="006B3C83">
              <w:rPr>
                <w:rFonts w:cs="Arial"/>
                <w:sz w:val="21"/>
                <w:szCs w:val="21"/>
              </w:rPr>
              <w:t>essing case management services that the sample as a whole.</w:t>
            </w:r>
          </w:p>
          <w:p w:rsidR="00B00442" w:rsidRPr="006B3C83" w:rsidRDefault="00B00442" w:rsidP="00B00442">
            <w:pPr>
              <w:ind w:left="252"/>
              <w:rPr>
                <w:rFonts w:cs="Arial"/>
                <w:sz w:val="21"/>
                <w:szCs w:val="21"/>
              </w:rPr>
            </w:pPr>
          </w:p>
          <w:p w:rsidR="006B1245" w:rsidRPr="006B3C83" w:rsidRDefault="006B1245" w:rsidP="007637F6">
            <w:pPr>
              <w:ind w:right="88"/>
              <w:rPr>
                <w:rFonts w:cs="Arial"/>
                <w:sz w:val="14"/>
                <w:szCs w:val="14"/>
              </w:rPr>
            </w:pPr>
            <w:r w:rsidRPr="006B3C83">
              <w:rPr>
                <w:rFonts w:cs="Arial"/>
                <w:sz w:val="14"/>
                <w:szCs w:val="14"/>
                <w:u w:val="single"/>
              </w:rPr>
              <w:t>Source</w:t>
            </w:r>
            <w:r w:rsidRPr="006B3C83">
              <w:rPr>
                <w:rFonts w:cs="Arial"/>
                <w:sz w:val="14"/>
                <w:szCs w:val="14"/>
              </w:rPr>
              <w:t xml:space="preserve">: </w:t>
            </w:r>
          </w:p>
          <w:p w:rsidR="007637F6" w:rsidRDefault="00B00442" w:rsidP="00B00442">
            <w:pPr>
              <w:ind w:right="88"/>
              <w:rPr>
                <w:rFonts w:cs="Arial"/>
                <w:sz w:val="14"/>
                <w:szCs w:val="14"/>
              </w:rPr>
            </w:pPr>
            <w:r w:rsidRPr="006B3C83">
              <w:rPr>
                <w:rFonts w:cs="Arial"/>
                <w:sz w:val="14"/>
                <w:szCs w:val="14"/>
              </w:rPr>
              <w:t>2016</w:t>
            </w:r>
            <w:r w:rsidR="006B1245" w:rsidRPr="006B3C83">
              <w:rPr>
                <w:rFonts w:cs="Arial"/>
                <w:sz w:val="14"/>
                <w:szCs w:val="14"/>
              </w:rPr>
              <w:t xml:space="preserve"> Houston Area HIV</w:t>
            </w:r>
            <w:r w:rsidRPr="006B3C83">
              <w:rPr>
                <w:rFonts w:cs="Arial"/>
                <w:sz w:val="14"/>
                <w:szCs w:val="14"/>
              </w:rPr>
              <w:t xml:space="preserve"> Needs Assessment</w:t>
            </w:r>
          </w:p>
          <w:p w:rsidR="006B3C83" w:rsidRPr="006B3C83" w:rsidRDefault="006B3C83" w:rsidP="00B00442">
            <w:pPr>
              <w:ind w:right="88"/>
            </w:pPr>
          </w:p>
        </w:tc>
        <w:tc>
          <w:tcPr>
            <w:tcW w:w="3420" w:type="dxa"/>
          </w:tcPr>
          <w:p w:rsidR="006B1245" w:rsidRPr="0031072D" w:rsidRDefault="006B1245" w:rsidP="007637F6">
            <w:pPr>
              <w:rPr>
                <w:rFonts w:cs="Arial"/>
                <w:sz w:val="18"/>
                <w:szCs w:val="18"/>
              </w:rPr>
            </w:pPr>
            <w:r w:rsidRPr="0031072D">
              <w:rPr>
                <w:rFonts w:cs="Arial"/>
                <w:sz w:val="18"/>
                <w:szCs w:val="18"/>
              </w:rPr>
              <w:t>This service aligns with the following goals:</w:t>
            </w:r>
          </w:p>
          <w:p w:rsidR="006B1245" w:rsidRPr="0031072D" w:rsidRDefault="006B1245" w:rsidP="007637F6">
            <w:pPr>
              <w:tabs>
                <w:tab w:val="left" w:pos="471"/>
              </w:tabs>
              <w:rPr>
                <w:rFonts w:cs="Arial"/>
                <w:sz w:val="18"/>
                <w:szCs w:val="18"/>
                <w:u w:val="single"/>
              </w:rPr>
            </w:pPr>
          </w:p>
          <w:p w:rsidR="00C65565" w:rsidRPr="0031072D" w:rsidRDefault="00C65565" w:rsidP="00C65565">
            <w:pPr>
              <w:tabs>
                <w:tab w:val="left" w:pos="471"/>
              </w:tabs>
              <w:rPr>
                <w:rFonts w:cs="Arial"/>
                <w:sz w:val="18"/>
                <w:szCs w:val="18"/>
                <w:u w:val="single"/>
              </w:rPr>
            </w:pPr>
            <w:r w:rsidRPr="0031072D">
              <w:rPr>
                <w:rFonts w:cs="Arial"/>
                <w:sz w:val="18"/>
                <w:szCs w:val="18"/>
                <w:u w:val="single"/>
              </w:rPr>
              <w:t>National HIV/AIDS Strategy (</w:t>
            </w:r>
            <w:proofErr w:type="spellStart"/>
            <w:r w:rsidRPr="0031072D">
              <w:rPr>
                <w:rFonts w:cs="Arial"/>
                <w:sz w:val="18"/>
                <w:szCs w:val="18"/>
                <w:u w:val="single"/>
              </w:rPr>
              <w:t>NHAS</w:t>
            </w:r>
            <w:proofErr w:type="spellEnd"/>
            <w:r w:rsidRPr="0031072D">
              <w:rPr>
                <w:rFonts w:cs="Arial"/>
                <w:sz w:val="18"/>
                <w:szCs w:val="18"/>
                <w:u w:val="single"/>
              </w:rPr>
              <w:t>) Updated for 2020 (2015)</w:t>
            </w:r>
          </w:p>
          <w:p w:rsidR="00CE7D08" w:rsidRPr="0031072D" w:rsidRDefault="00CE7D08" w:rsidP="006D6030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="Arial"/>
                <w:sz w:val="18"/>
                <w:szCs w:val="18"/>
              </w:rPr>
            </w:pPr>
            <w:r w:rsidRPr="0031072D">
              <w:rPr>
                <w:rFonts w:cs="Arial"/>
                <w:sz w:val="18"/>
                <w:szCs w:val="18"/>
              </w:rPr>
              <w:t>Increase the percentage of persons with diagnosed HIV who are retained in HIV medical care to at least 90%.</w:t>
            </w:r>
          </w:p>
          <w:p w:rsidR="00CE7D08" w:rsidRPr="0031072D" w:rsidRDefault="00CE7D08" w:rsidP="006D6030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="Arial"/>
                <w:sz w:val="18"/>
                <w:szCs w:val="18"/>
              </w:rPr>
            </w:pPr>
            <w:r w:rsidRPr="0031072D">
              <w:rPr>
                <w:rFonts w:cs="Arial"/>
                <w:sz w:val="18"/>
                <w:szCs w:val="18"/>
              </w:rPr>
              <w:t>Increase the percentage of persons with diagnosed HIV who are virally suppressed to at least 80%.</w:t>
            </w:r>
          </w:p>
          <w:p w:rsidR="007637F6" w:rsidRPr="0031072D" w:rsidRDefault="007637F6" w:rsidP="007637F6">
            <w:pPr>
              <w:tabs>
                <w:tab w:val="left" w:pos="471"/>
              </w:tabs>
              <w:rPr>
                <w:rFonts w:cs="Arial"/>
                <w:sz w:val="18"/>
                <w:szCs w:val="18"/>
                <w:u w:val="single"/>
              </w:rPr>
            </w:pPr>
            <w:r w:rsidRPr="0031072D">
              <w:rPr>
                <w:rFonts w:cs="Arial"/>
                <w:sz w:val="18"/>
                <w:szCs w:val="18"/>
                <w:u w:val="single"/>
              </w:rPr>
              <w:t>EIIHA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29"/>
              </w:numPr>
              <w:ind w:left="241" w:hanging="241"/>
              <w:rPr>
                <w:rFonts w:cs="Arial"/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 xml:space="preserve">Referring to medical care and services 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29"/>
              </w:numPr>
              <w:ind w:left="241" w:hanging="241"/>
              <w:rPr>
                <w:rFonts w:cs="Arial"/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>Linking to medical care</w:t>
            </w:r>
            <w:r w:rsidRPr="0031072D">
              <w:rPr>
                <w:rFonts w:cs="Arial"/>
                <w:sz w:val="18"/>
                <w:szCs w:val="18"/>
              </w:rPr>
              <w:t xml:space="preserve"> </w:t>
            </w:r>
          </w:p>
          <w:p w:rsidR="007637F6" w:rsidRPr="0031072D" w:rsidRDefault="00EC68DA" w:rsidP="007637F6">
            <w:pPr>
              <w:rPr>
                <w:rFonts w:cs="Arial"/>
                <w:sz w:val="18"/>
                <w:szCs w:val="18"/>
                <w:u w:val="single"/>
              </w:rPr>
            </w:pPr>
            <w:r w:rsidRPr="0031072D">
              <w:rPr>
                <w:rFonts w:cs="Arial"/>
                <w:sz w:val="18"/>
                <w:szCs w:val="18"/>
                <w:u w:val="single"/>
              </w:rPr>
              <w:t>HIV Care Continuum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</w:tabs>
              <w:ind w:left="214" w:hanging="214"/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 xml:space="preserve">Increase the percentage of those aware of their HIV+ status retained in HIV care 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</w:tabs>
              <w:ind w:left="214" w:hanging="214"/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 xml:space="preserve">Increase the percentage of those aware of their HIV+ status with a suppressed viral load </w:t>
            </w:r>
          </w:p>
          <w:p w:rsidR="00E056BA" w:rsidRPr="0031072D" w:rsidRDefault="006C46B0" w:rsidP="00E056BA">
            <w:pPr>
              <w:rPr>
                <w:rFonts w:cs="Arial"/>
                <w:sz w:val="18"/>
                <w:szCs w:val="18"/>
                <w:u w:val="single"/>
              </w:rPr>
            </w:pPr>
            <w:r w:rsidRPr="0031072D">
              <w:rPr>
                <w:rFonts w:cs="Arial"/>
                <w:sz w:val="18"/>
                <w:szCs w:val="18"/>
                <w:u w:val="single"/>
              </w:rPr>
              <w:t>The Texas HIV Plan (2017-2021):</w:t>
            </w:r>
          </w:p>
          <w:p w:rsidR="0031072D" w:rsidRPr="0031072D" w:rsidRDefault="0031072D" w:rsidP="006D603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>Increase continuous participation in systems of care and treatment</w:t>
            </w:r>
          </w:p>
          <w:p w:rsidR="00E056BA" w:rsidRPr="0031072D" w:rsidRDefault="0031072D" w:rsidP="006D603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>Increase viral suppression</w:t>
            </w:r>
          </w:p>
          <w:p w:rsidR="007637F6" w:rsidRPr="0031072D" w:rsidRDefault="007637F6" w:rsidP="007637F6">
            <w:pPr>
              <w:rPr>
                <w:rFonts w:cs="Arial"/>
                <w:sz w:val="18"/>
                <w:szCs w:val="18"/>
                <w:u w:val="single"/>
              </w:rPr>
            </w:pPr>
            <w:r w:rsidRPr="0031072D">
              <w:rPr>
                <w:rFonts w:cs="Arial"/>
                <w:sz w:val="18"/>
                <w:szCs w:val="18"/>
                <w:u w:val="single"/>
              </w:rPr>
              <w:t>Comprehensive HIV Plan (</w:t>
            </w:r>
            <w:r w:rsidR="00E91B92" w:rsidRPr="0031072D">
              <w:rPr>
                <w:rFonts w:cs="Arial"/>
                <w:sz w:val="18"/>
                <w:szCs w:val="18"/>
                <w:u w:val="single"/>
              </w:rPr>
              <w:t>2017-2021</w:t>
            </w:r>
            <w:r w:rsidRPr="0031072D">
              <w:rPr>
                <w:rFonts w:cs="Arial"/>
                <w:sz w:val="18"/>
                <w:szCs w:val="18"/>
                <w:u w:val="single"/>
              </w:rPr>
              <w:t xml:space="preserve">): 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7"/>
              </w:numPr>
              <w:ind w:left="214" w:hanging="214"/>
              <w:contextualSpacing w:val="0"/>
              <w:rPr>
                <w:sz w:val="18"/>
                <w:szCs w:val="18"/>
              </w:rPr>
            </w:pPr>
            <w:r w:rsidRPr="0031072D">
              <w:rPr>
                <w:rFonts w:cs="Myriad Pro"/>
                <w:sz w:val="18"/>
                <w:szCs w:val="18"/>
              </w:rPr>
              <w:t>Increase the percent of RW clients in continuous HIV care to 80%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7"/>
              </w:numPr>
              <w:ind w:left="214" w:hanging="214"/>
              <w:contextualSpacing w:val="0"/>
              <w:rPr>
                <w:sz w:val="18"/>
                <w:szCs w:val="18"/>
              </w:rPr>
            </w:pPr>
            <w:r w:rsidRPr="0031072D">
              <w:rPr>
                <w:rFonts w:cs="Myriad Pro"/>
                <w:sz w:val="18"/>
                <w:szCs w:val="18"/>
              </w:rPr>
              <w:t xml:space="preserve">Reduce the </w:t>
            </w:r>
            <w:r w:rsidRPr="0031072D">
              <w:rPr>
                <w:sz w:val="18"/>
                <w:szCs w:val="18"/>
              </w:rPr>
              <w:t xml:space="preserve">proportion of diagnosed individuals who are not in HIV care </w:t>
            </w:r>
            <w:r w:rsidRPr="0031072D">
              <w:rPr>
                <w:rFonts w:cs="Myriad Pro"/>
                <w:sz w:val="18"/>
                <w:szCs w:val="18"/>
              </w:rPr>
              <w:t>by 0.8% each year</w:t>
            </w:r>
          </w:p>
          <w:p w:rsidR="007637F6" w:rsidRPr="0031072D" w:rsidRDefault="007637F6" w:rsidP="006D6030">
            <w:pPr>
              <w:pStyle w:val="ListParagraph"/>
              <w:numPr>
                <w:ilvl w:val="0"/>
                <w:numId w:val="7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14" w:hanging="214"/>
              <w:contextualSpacing w:val="0"/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 xml:space="preserve">Increase the proportion of </w:t>
            </w:r>
            <w:r w:rsidRPr="0031072D">
              <w:rPr>
                <w:rFonts w:cs="Myriad Pro"/>
                <w:sz w:val="18"/>
                <w:szCs w:val="18"/>
              </w:rPr>
              <w:t xml:space="preserve">RW clients </w:t>
            </w:r>
            <w:r w:rsidRPr="0031072D">
              <w:rPr>
                <w:sz w:val="18"/>
                <w:szCs w:val="18"/>
              </w:rPr>
              <w:t xml:space="preserve">with </w:t>
            </w:r>
            <w:proofErr w:type="spellStart"/>
            <w:r w:rsidRPr="0031072D">
              <w:rPr>
                <w:sz w:val="18"/>
                <w:szCs w:val="18"/>
              </w:rPr>
              <w:t>UVL</w:t>
            </w:r>
            <w:proofErr w:type="spellEnd"/>
            <w:r w:rsidRPr="0031072D">
              <w:rPr>
                <w:sz w:val="18"/>
                <w:szCs w:val="18"/>
              </w:rPr>
              <w:t xml:space="preserve"> by 10%</w:t>
            </w:r>
          </w:p>
          <w:p w:rsidR="007637F6" w:rsidRPr="0031072D" w:rsidRDefault="007637F6" w:rsidP="007637F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ind w:left="0"/>
              <w:contextualSpacing w:val="0"/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>The following Special Populations are also specifically addressed by this service:</w:t>
            </w:r>
          </w:p>
          <w:p w:rsidR="007637F6" w:rsidRPr="0031072D" w:rsidRDefault="00E91B92" w:rsidP="007637F6">
            <w:pPr>
              <w:pStyle w:val="ListParagraph"/>
              <w:numPr>
                <w:ilvl w:val="0"/>
                <w:numId w:val="2"/>
              </w:numPr>
              <w:ind w:left="244" w:hanging="244"/>
              <w:rPr>
                <w:sz w:val="18"/>
                <w:szCs w:val="18"/>
              </w:rPr>
            </w:pPr>
            <w:r w:rsidRPr="0031072D">
              <w:rPr>
                <w:sz w:val="18"/>
                <w:szCs w:val="18"/>
              </w:rPr>
              <w:t>Youth (age 13 – 24</w:t>
            </w:r>
            <w:r w:rsidR="007637F6" w:rsidRPr="0031072D">
              <w:rPr>
                <w:sz w:val="18"/>
                <w:szCs w:val="18"/>
              </w:rPr>
              <w:t>)</w:t>
            </w:r>
          </w:p>
          <w:p w:rsidR="006B1245" w:rsidRPr="0031072D" w:rsidRDefault="007637F6" w:rsidP="007637F6">
            <w:pPr>
              <w:pStyle w:val="ListParagraph"/>
              <w:numPr>
                <w:ilvl w:val="0"/>
                <w:numId w:val="2"/>
              </w:numPr>
              <w:ind w:left="244" w:hanging="244"/>
              <w:rPr>
                <w:sz w:val="18"/>
                <w:szCs w:val="18"/>
              </w:rPr>
            </w:pPr>
            <w:proofErr w:type="spellStart"/>
            <w:r w:rsidRPr="0031072D">
              <w:rPr>
                <w:sz w:val="18"/>
                <w:szCs w:val="18"/>
              </w:rPr>
              <w:t>IDU</w:t>
            </w:r>
            <w:proofErr w:type="spellEnd"/>
          </w:p>
          <w:p w:rsidR="0031072D" w:rsidRPr="0031072D" w:rsidRDefault="0031072D" w:rsidP="0031072D">
            <w:pPr>
              <w:rPr>
                <w:rFonts w:cs="Arial"/>
                <w:szCs w:val="20"/>
                <w:u w:val="single"/>
              </w:rPr>
            </w:pPr>
            <w:r w:rsidRPr="0031072D">
              <w:rPr>
                <w:rFonts w:cs="Arial"/>
                <w:szCs w:val="20"/>
                <w:u w:val="single"/>
              </w:rPr>
              <w:t>END Plan (2017-2021)</w:t>
            </w:r>
          </w:p>
          <w:p w:rsidR="0031072D" w:rsidRPr="0031072D" w:rsidRDefault="0031072D" w:rsidP="006D6030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cs="Arial"/>
                <w:szCs w:val="20"/>
              </w:rPr>
            </w:pPr>
            <w:r w:rsidRPr="0031072D">
              <w:rPr>
                <w:rFonts w:cs="Arial"/>
                <w:szCs w:val="20"/>
              </w:rPr>
              <w:t>Foster 90% retention in care</w:t>
            </w:r>
          </w:p>
          <w:p w:rsidR="0031072D" w:rsidRDefault="0031072D" w:rsidP="006D6030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cs="Arial"/>
                <w:szCs w:val="20"/>
              </w:rPr>
            </w:pPr>
            <w:r w:rsidRPr="0031072D">
              <w:rPr>
                <w:rFonts w:cs="Arial"/>
                <w:szCs w:val="20"/>
              </w:rPr>
              <w:t>Support 90% of diagnosed PLWH in Houston/Harris County to achieve viral suppression</w:t>
            </w:r>
          </w:p>
          <w:p w:rsidR="0031072D" w:rsidRDefault="0031072D" w:rsidP="0031072D">
            <w:pPr>
              <w:rPr>
                <w:rFonts w:cs="Arial"/>
                <w:szCs w:val="20"/>
              </w:rPr>
            </w:pPr>
          </w:p>
          <w:p w:rsidR="0031072D" w:rsidRPr="0031072D" w:rsidRDefault="0031072D" w:rsidP="0031072D">
            <w:pPr>
              <w:rPr>
                <w:rFonts w:cs="Arial"/>
                <w:szCs w:val="20"/>
              </w:rPr>
            </w:pPr>
          </w:p>
        </w:tc>
      </w:tr>
    </w:tbl>
    <w:p w:rsidR="009145B3" w:rsidRPr="00807E63" w:rsidRDefault="009145B3" w:rsidP="00032494">
      <w:pPr>
        <w:rPr>
          <w:sz w:val="10"/>
        </w:rPr>
      </w:pPr>
    </w:p>
    <w:sectPr w:rsidR="009145B3" w:rsidRPr="00807E63" w:rsidSect="00807E63">
      <w:headerReference w:type="even" r:id="rId13"/>
      <w:headerReference w:type="default" r:id="rId14"/>
      <w:footerReference w:type="default" r:id="rId15"/>
      <w:headerReference w:type="first" r:id="rId16"/>
      <w:pgSz w:w="20160" w:h="12240" w:orient="landscape" w:code="5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01" w:rsidRDefault="00342201">
      <w:r>
        <w:separator/>
      </w:r>
    </w:p>
  </w:endnote>
  <w:endnote w:type="continuationSeparator" w:id="0">
    <w:p w:rsidR="00342201" w:rsidRDefault="003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01" w:rsidRPr="00786787" w:rsidRDefault="00034206" w:rsidP="00807E63">
    <w:pPr>
      <w:pStyle w:val="Footer"/>
      <w:tabs>
        <w:tab w:val="clear" w:pos="8640"/>
        <w:tab w:val="right" w:pos="18990"/>
      </w:tabs>
      <w:ind w:right="-162"/>
      <w:rPr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FILENAME  \p  \* MERGEFORMAT </w:instrText>
    </w:r>
    <w:r>
      <w:rPr>
        <w:noProof/>
        <w:sz w:val="18"/>
        <w:szCs w:val="18"/>
      </w:rPr>
      <w:fldChar w:fldCharType="separate"/>
    </w:r>
    <w:r w:rsidR="00EB2E4C">
      <w:rPr>
        <w:noProof/>
        <w:sz w:val="18"/>
        <w:szCs w:val="18"/>
      </w:rPr>
      <w:t>J:\Special Projects\HRSA All Grantee Mtg - 12-18\Handouts - Tori's workshop\07 CHART - All FY</w:t>
    </w:r>
    <w:r w:rsidR="00EB2E4C" w:rsidRPr="00EB2E4C">
      <w:rPr>
        <w:noProof/>
      </w:rPr>
      <w:t xml:space="preserve"> 2019 Svc Cat Info Summaries -</w:t>
    </w:r>
    <w:r w:rsidR="00EB2E4C">
      <w:rPr>
        <w:noProof/>
        <w:sz w:val="18"/>
        <w:szCs w:val="18"/>
      </w:rPr>
      <w:t xml:space="preserve"> FINAL 04-23-18.docx</w:t>
    </w:r>
    <w:r>
      <w:rPr>
        <w:noProof/>
      </w:rPr>
      <w:fldChar w:fldCharType="end"/>
    </w:r>
    <w:r w:rsidR="00342201" w:rsidRPr="00786787">
      <w:rPr>
        <w:sz w:val="18"/>
        <w:szCs w:val="18"/>
      </w:rPr>
      <w:tab/>
      <w:t xml:space="preserve">Page </w:t>
    </w:r>
    <w:r w:rsidR="00342201" w:rsidRPr="00786787">
      <w:rPr>
        <w:sz w:val="18"/>
        <w:szCs w:val="18"/>
      </w:rPr>
      <w:fldChar w:fldCharType="begin"/>
    </w:r>
    <w:r w:rsidR="00342201" w:rsidRPr="00786787">
      <w:rPr>
        <w:sz w:val="18"/>
        <w:szCs w:val="18"/>
      </w:rPr>
      <w:instrText xml:space="preserve"> PAGE </w:instrText>
    </w:r>
    <w:r w:rsidR="00342201" w:rsidRPr="00786787">
      <w:rPr>
        <w:sz w:val="18"/>
        <w:szCs w:val="18"/>
      </w:rPr>
      <w:fldChar w:fldCharType="separate"/>
    </w:r>
    <w:r w:rsidR="00C8161B">
      <w:rPr>
        <w:noProof/>
        <w:sz w:val="18"/>
        <w:szCs w:val="18"/>
      </w:rPr>
      <w:t>2</w:t>
    </w:r>
    <w:r w:rsidR="00342201" w:rsidRPr="00786787">
      <w:rPr>
        <w:sz w:val="18"/>
        <w:szCs w:val="18"/>
      </w:rPr>
      <w:fldChar w:fldCharType="end"/>
    </w:r>
    <w:r w:rsidR="00342201" w:rsidRPr="00786787">
      <w:rPr>
        <w:sz w:val="18"/>
        <w:szCs w:val="18"/>
      </w:rPr>
      <w:t xml:space="preserve"> of </w:t>
    </w:r>
    <w:r w:rsidR="00342201" w:rsidRPr="00786787">
      <w:rPr>
        <w:sz w:val="18"/>
        <w:szCs w:val="18"/>
      </w:rPr>
      <w:fldChar w:fldCharType="begin"/>
    </w:r>
    <w:r w:rsidR="00342201" w:rsidRPr="00786787">
      <w:rPr>
        <w:sz w:val="18"/>
        <w:szCs w:val="18"/>
      </w:rPr>
      <w:instrText xml:space="preserve"> NUMPAGES </w:instrText>
    </w:r>
    <w:r w:rsidR="00342201" w:rsidRPr="00786787">
      <w:rPr>
        <w:sz w:val="18"/>
        <w:szCs w:val="18"/>
      </w:rPr>
      <w:fldChar w:fldCharType="separate"/>
    </w:r>
    <w:r w:rsidR="00C8161B">
      <w:rPr>
        <w:noProof/>
        <w:sz w:val="18"/>
        <w:szCs w:val="18"/>
      </w:rPr>
      <w:t>4</w:t>
    </w:r>
    <w:r w:rsidR="00342201" w:rsidRPr="007867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01" w:rsidRDefault="00342201">
      <w:r>
        <w:separator/>
      </w:r>
    </w:p>
  </w:footnote>
  <w:footnote w:type="continuationSeparator" w:id="0">
    <w:p w:rsidR="00342201" w:rsidRDefault="003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D0" w:rsidRDefault="00C816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46.8pt;height:546.8pt;z-index:-251657216;mso-position-horizontal:center;mso-position-horizontal-relative:margin;mso-position-vertical:center;mso-position-vertical-relative:margin" o:allowincell="f">
          <v:imagedata r:id="rId1" o:title="5083548178_cff963d74e_b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01" w:rsidRPr="00C84DD6" w:rsidRDefault="00342201" w:rsidP="00786787">
    <w:pPr>
      <w:pStyle w:val="Header"/>
      <w:tabs>
        <w:tab w:val="clear" w:pos="8640"/>
        <w:tab w:val="right" w:pos="18990"/>
      </w:tabs>
      <w:spacing w:after="120"/>
      <w:rPr>
        <w:b/>
        <w:sz w:val="32"/>
        <w:szCs w:val="32"/>
      </w:rPr>
    </w:pPr>
    <w:r>
      <w:rPr>
        <w:b/>
        <w:sz w:val="32"/>
        <w:szCs w:val="32"/>
      </w:rPr>
      <w:t>F</w:t>
    </w:r>
    <w:r w:rsidR="009477D0">
      <w:rPr>
        <w:b/>
        <w:sz w:val="32"/>
        <w:szCs w:val="32"/>
      </w:rPr>
      <w:t>Y</w:t>
    </w:r>
    <w:r w:rsidR="00EB2E4C">
      <w:rPr>
        <w:b/>
        <w:sz w:val="32"/>
        <w:szCs w:val="32"/>
      </w:rPr>
      <w:t xml:space="preserve"> </w:t>
    </w:r>
    <w:r w:rsidR="009477D0">
      <w:rPr>
        <w:b/>
        <w:sz w:val="32"/>
        <w:szCs w:val="32"/>
      </w:rPr>
      <w:t>2019</w:t>
    </w:r>
    <w:r>
      <w:rPr>
        <w:b/>
        <w:sz w:val="32"/>
        <w:szCs w:val="32"/>
      </w:rPr>
      <w:t xml:space="preserve"> </w:t>
    </w:r>
    <w:r w:rsidRPr="00B86ECF">
      <w:rPr>
        <w:b/>
        <w:sz w:val="32"/>
        <w:szCs w:val="32"/>
      </w:rPr>
      <w:t xml:space="preserve">Service Category </w:t>
    </w:r>
    <w:r>
      <w:rPr>
        <w:b/>
        <w:sz w:val="32"/>
        <w:szCs w:val="32"/>
      </w:rPr>
      <w:t>Information Summary</w:t>
    </w:r>
    <w:r w:rsidRPr="00B86ECF">
      <w:rPr>
        <w:b/>
        <w:sz w:val="32"/>
        <w:szCs w:val="32"/>
      </w:rPr>
      <w:t xml:space="preserve"> – </w:t>
    </w:r>
    <w:r>
      <w:rPr>
        <w:b/>
        <w:sz w:val="32"/>
        <w:szCs w:val="32"/>
      </w:rPr>
      <w:t>Part A, MAI, Part B, SS</w:t>
    </w:r>
    <w:r w:rsidRPr="002F7B18">
      <w:rPr>
        <w:b/>
        <w:sz w:val="28"/>
        <w:szCs w:val="28"/>
      </w:rPr>
      <w:tab/>
    </w:r>
    <w:r>
      <w:t xml:space="preserve">Last Updated: </w:t>
    </w:r>
    <w:r>
      <w:fldChar w:fldCharType="begin"/>
    </w:r>
    <w:r>
      <w:instrText xml:space="preserve"> DATE \@ "M/d/yy" </w:instrText>
    </w:r>
    <w:r>
      <w:fldChar w:fldCharType="separate"/>
    </w:r>
    <w:r w:rsidR="00C8161B">
      <w:rPr>
        <w:noProof/>
      </w:rPr>
      <w:t>12/12/18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D0" w:rsidRDefault="00C816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46.8pt;height:546.8pt;z-index:-251658240;mso-position-horizontal:center;mso-position-horizontal-relative:margin;mso-position-vertical:center;mso-position-vertical-relative:margin" o:allowincell="f">
          <v:imagedata r:id="rId1" o:title="5083548178_cff963d74e_b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2650527"/>
    <w:multiLevelType w:val="hybridMultilevel"/>
    <w:tmpl w:val="B1906B7A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A87"/>
    <w:multiLevelType w:val="hybridMultilevel"/>
    <w:tmpl w:val="D9C6267A"/>
    <w:lvl w:ilvl="0" w:tplc="03C28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51CF5"/>
    <w:multiLevelType w:val="hybridMultilevel"/>
    <w:tmpl w:val="2ECC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E3E"/>
    <w:multiLevelType w:val="hybridMultilevel"/>
    <w:tmpl w:val="9AD8D64E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A43C2"/>
    <w:multiLevelType w:val="hybridMultilevel"/>
    <w:tmpl w:val="406E20EA"/>
    <w:lvl w:ilvl="0" w:tplc="DF020702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0FA44321"/>
    <w:multiLevelType w:val="hybridMultilevel"/>
    <w:tmpl w:val="043CF482"/>
    <w:lvl w:ilvl="0" w:tplc="0A1E913E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5B48"/>
    <w:multiLevelType w:val="hybridMultilevel"/>
    <w:tmpl w:val="337CABCE"/>
    <w:lvl w:ilvl="0" w:tplc="8CA64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A165C"/>
    <w:multiLevelType w:val="hybridMultilevel"/>
    <w:tmpl w:val="01903636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 w15:restartNumberingAfterBreak="0">
    <w:nsid w:val="15FF7982"/>
    <w:multiLevelType w:val="multilevel"/>
    <w:tmpl w:val="8FAA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144A2"/>
    <w:multiLevelType w:val="hybridMultilevel"/>
    <w:tmpl w:val="2668C0C2"/>
    <w:lvl w:ilvl="0" w:tplc="CAC6B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46768"/>
    <w:multiLevelType w:val="hybridMultilevel"/>
    <w:tmpl w:val="75F6D354"/>
    <w:lvl w:ilvl="0" w:tplc="ED903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67F11"/>
    <w:multiLevelType w:val="hybridMultilevel"/>
    <w:tmpl w:val="EB9665B6"/>
    <w:lvl w:ilvl="0" w:tplc="8138CA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60A74"/>
    <w:multiLevelType w:val="hybridMultilevel"/>
    <w:tmpl w:val="79D6A7E4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D1710"/>
    <w:multiLevelType w:val="hybridMultilevel"/>
    <w:tmpl w:val="0EE2581A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3295"/>
    <w:multiLevelType w:val="hybridMultilevel"/>
    <w:tmpl w:val="633C652A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5" w15:restartNumberingAfterBreak="0">
    <w:nsid w:val="275363C1"/>
    <w:multiLevelType w:val="hybridMultilevel"/>
    <w:tmpl w:val="43046EC4"/>
    <w:lvl w:ilvl="0" w:tplc="AA62E1DC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B18E9"/>
    <w:multiLevelType w:val="hybridMultilevel"/>
    <w:tmpl w:val="649ACB2A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7" w15:restartNumberingAfterBreak="0">
    <w:nsid w:val="2E72756F"/>
    <w:multiLevelType w:val="hybridMultilevel"/>
    <w:tmpl w:val="81B0B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709CC"/>
    <w:multiLevelType w:val="hybridMultilevel"/>
    <w:tmpl w:val="067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D0D85"/>
    <w:multiLevelType w:val="hybridMultilevel"/>
    <w:tmpl w:val="970E7396"/>
    <w:lvl w:ilvl="0" w:tplc="0A1E913E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019CD"/>
    <w:multiLevelType w:val="hybridMultilevel"/>
    <w:tmpl w:val="128E3852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1" w15:restartNumberingAfterBreak="0">
    <w:nsid w:val="369825A7"/>
    <w:multiLevelType w:val="hybridMultilevel"/>
    <w:tmpl w:val="68785FB4"/>
    <w:lvl w:ilvl="0" w:tplc="169CD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B09C0"/>
    <w:multiLevelType w:val="hybridMultilevel"/>
    <w:tmpl w:val="5E0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96395"/>
    <w:multiLevelType w:val="hybridMultilevel"/>
    <w:tmpl w:val="283E239C"/>
    <w:lvl w:ilvl="0" w:tplc="ED903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F2386"/>
    <w:multiLevelType w:val="hybridMultilevel"/>
    <w:tmpl w:val="27FC67BA"/>
    <w:lvl w:ilvl="0" w:tplc="CAC6B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91A8D"/>
    <w:multiLevelType w:val="hybridMultilevel"/>
    <w:tmpl w:val="B8F044B6"/>
    <w:lvl w:ilvl="0" w:tplc="CAC6B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2567A"/>
    <w:multiLevelType w:val="hybridMultilevel"/>
    <w:tmpl w:val="81B0B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D0066"/>
    <w:multiLevelType w:val="hybridMultilevel"/>
    <w:tmpl w:val="D70EF66C"/>
    <w:lvl w:ilvl="0" w:tplc="CAC6B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D08BD"/>
    <w:multiLevelType w:val="hybridMultilevel"/>
    <w:tmpl w:val="F8627D66"/>
    <w:lvl w:ilvl="0" w:tplc="0A1E913E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A021F"/>
    <w:multiLevelType w:val="hybridMultilevel"/>
    <w:tmpl w:val="37B803CE"/>
    <w:lvl w:ilvl="0" w:tplc="42842840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D1B1D"/>
    <w:multiLevelType w:val="hybridMultilevel"/>
    <w:tmpl w:val="C904263C"/>
    <w:lvl w:ilvl="0" w:tplc="C4D22458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C065C"/>
    <w:multiLevelType w:val="hybridMultilevel"/>
    <w:tmpl w:val="6BE8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870DF"/>
    <w:multiLevelType w:val="multilevel"/>
    <w:tmpl w:val="37C4D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233FE"/>
    <w:multiLevelType w:val="hybridMultilevel"/>
    <w:tmpl w:val="B0228E48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34AFD"/>
    <w:multiLevelType w:val="hybridMultilevel"/>
    <w:tmpl w:val="452AF064"/>
    <w:lvl w:ilvl="0" w:tplc="63D4407E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421A27"/>
    <w:multiLevelType w:val="hybridMultilevel"/>
    <w:tmpl w:val="0924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C5A25"/>
    <w:multiLevelType w:val="hybridMultilevel"/>
    <w:tmpl w:val="068C7FB6"/>
    <w:lvl w:ilvl="0" w:tplc="3A367AB4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FC48BB"/>
    <w:multiLevelType w:val="multilevel"/>
    <w:tmpl w:val="BB3EB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D705A4"/>
    <w:multiLevelType w:val="hybridMultilevel"/>
    <w:tmpl w:val="3886C12E"/>
    <w:lvl w:ilvl="0" w:tplc="5280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0C86"/>
    <w:multiLevelType w:val="hybridMultilevel"/>
    <w:tmpl w:val="35F20CBE"/>
    <w:lvl w:ilvl="0" w:tplc="B5680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C0342"/>
    <w:multiLevelType w:val="multilevel"/>
    <w:tmpl w:val="BB3EB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B444AB"/>
    <w:multiLevelType w:val="multilevel"/>
    <w:tmpl w:val="959E4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A2725"/>
    <w:multiLevelType w:val="hybridMultilevel"/>
    <w:tmpl w:val="F10E5B30"/>
    <w:lvl w:ilvl="0" w:tplc="0A1E913E">
      <w:start w:val="201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751E4"/>
    <w:multiLevelType w:val="hybridMultilevel"/>
    <w:tmpl w:val="AD2027CE"/>
    <w:lvl w:ilvl="0" w:tplc="8CA64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9"/>
  </w:num>
  <w:num w:numId="4">
    <w:abstractNumId w:val="40"/>
  </w:num>
  <w:num w:numId="5">
    <w:abstractNumId w:val="41"/>
  </w:num>
  <w:num w:numId="6">
    <w:abstractNumId w:val="24"/>
  </w:num>
  <w:num w:numId="7">
    <w:abstractNumId w:val="25"/>
  </w:num>
  <w:num w:numId="8">
    <w:abstractNumId w:val="27"/>
  </w:num>
  <w:num w:numId="9">
    <w:abstractNumId w:val="26"/>
  </w:num>
  <w:num w:numId="10">
    <w:abstractNumId w:val="3"/>
  </w:num>
  <w:num w:numId="11">
    <w:abstractNumId w:val="13"/>
  </w:num>
  <w:num w:numId="12">
    <w:abstractNumId w:val="12"/>
  </w:num>
  <w:num w:numId="13">
    <w:abstractNumId w:val="38"/>
  </w:num>
  <w:num w:numId="14">
    <w:abstractNumId w:val="0"/>
  </w:num>
  <w:num w:numId="15">
    <w:abstractNumId w:val="11"/>
  </w:num>
  <w:num w:numId="16">
    <w:abstractNumId w:val="34"/>
  </w:num>
  <w:num w:numId="17">
    <w:abstractNumId w:val="43"/>
  </w:num>
  <w:num w:numId="18">
    <w:abstractNumId w:val="23"/>
  </w:num>
  <w:num w:numId="19">
    <w:abstractNumId w:val="10"/>
  </w:num>
  <w:num w:numId="20">
    <w:abstractNumId w:val="30"/>
  </w:num>
  <w:num w:numId="21">
    <w:abstractNumId w:val="36"/>
  </w:num>
  <w:num w:numId="22">
    <w:abstractNumId w:val="15"/>
  </w:num>
  <w:num w:numId="23">
    <w:abstractNumId w:val="28"/>
  </w:num>
  <w:num w:numId="24">
    <w:abstractNumId w:val="42"/>
  </w:num>
  <w:num w:numId="25">
    <w:abstractNumId w:val="5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33"/>
  </w:num>
  <w:num w:numId="31">
    <w:abstractNumId w:val="29"/>
  </w:num>
  <w:num w:numId="32">
    <w:abstractNumId w:val="8"/>
  </w:num>
  <w:num w:numId="33">
    <w:abstractNumId w:val="37"/>
  </w:num>
  <w:num w:numId="34">
    <w:abstractNumId w:val="32"/>
  </w:num>
  <w:num w:numId="35">
    <w:abstractNumId w:val="31"/>
  </w:num>
  <w:num w:numId="36">
    <w:abstractNumId w:val="7"/>
  </w:num>
  <w:num w:numId="37">
    <w:abstractNumId w:val="16"/>
  </w:num>
  <w:num w:numId="38">
    <w:abstractNumId w:val="22"/>
  </w:num>
  <w:num w:numId="39">
    <w:abstractNumId w:val="20"/>
  </w:num>
  <w:num w:numId="40">
    <w:abstractNumId w:val="14"/>
  </w:num>
  <w:num w:numId="41">
    <w:abstractNumId w:val="18"/>
  </w:num>
  <w:num w:numId="42">
    <w:abstractNumId w:val="2"/>
  </w:num>
  <w:num w:numId="43">
    <w:abstractNumId w:val="17"/>
  </w:num>
  <w:num w:numId="44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US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5"/>
    <w:rsid w:val="00000543"/>
    <w:rsid w:val="000025B6"/>
    <w:rsid w:val="00003E9C"/>
    <w:rsid w:val="00004710"/>
    <w:rsid w:val="00004B56"/>
    <w:rsid w:val="00013CE6"/>
    <w:rsid w:val="00015B69"/>
    <w:rsid w:val="00016C6F"/>
    <w:rsid w:val="000172D6"/>
    <w:rsid w:val="0001792A"/>
    <w:rsid w:val="0002110B"/>
    <w:rsid w:val="00023280"/>
    <w:rsid w:val="000248A3"/>
    <w:rsid w:val="0002709C"/>
    <w:rsid w:val="00027A18"/>
    <w:rsid w:val="00030A04"/>
    <w:rsid w:val="00031E6D"/>
    <w:rsid w:val="00032107"/>
    <w:rsid w:val="00032494"/>
    <w:rsid w:val="0003364D"/>
    <w:rsid w:val="00034206"/>
    <w:rsid w:val="00035AC1"/>
    <w:rsid w:val="00037C2D"/>
    <w:rsid w:val="00040B42"/>
    <w:rsid w:val="00042C38"/>
    <w:rsid w:val="000451A2"/>
    <w:rsid w:val="00046BA8"/>
    <w:rsid w:val="00047274"/>
    <w:rsid w:val="000503C3"/>
    <w:rsid w:val="00050506"/>
    <w:rsid w:val="00050B82"/>
    <w:rsid w:val="0005118A"/>
    <w:rsid w:val="000518F8"/>
    <w:rsid w:val="0005234A"/>
    <w:rsid w:val="00053966"/>
    <w:rsid w:val="000550B0"/>
    <w:rsid w:val="00055E7D"/>
    <w:rsid w:val="000614E5"/>
    <w:rsid w:val="00062146"/>
    <w:rsid w:val="00062355"/>
    <w:rsid w:val="000645B3"/>
    <w:rsid w:val="00065945"/>
    <w:rsid w:val="00066AC8"/>
    <w:rsid w:val="00066CCE"/>
    <w:rsid w:val="0007201B"/>
    <w:rsid w:val="0007210D"/>
    <w:rsid w:val="000728DC"/>
    <w:rsid w:val="000733DE"/>
    <w:rsid w:val="0007529E"/>
    <w:rsid w:val="000755D7"/>
    <w:rsid w:val="00077B4A"/>
    <w:rsid w:val="000804C4"/>
    <w:rsid w:val="00082C1E"/>
    <w:rsid w:val="00084DA9"/>
    <w:rsid w:val="00084EE0"/>
    <w:rsid w:val="0009241C"/>
    <w:rsid w:val="00092441"/>
    <w:rsid w:val="00093FC4"/>
    <w:rsid w:val="00094210"/>
    <w:rsid w:val="00095BFA"/>
    <w:rsid w:val="00097329"/>
    <w:rsid w:val="000A40B7"/>
    <w:rsid w:val="000A5320"/>
    <w:rsid w:val="000A53B2"/>
    <w:rsid w:val="000A5AA5"/>
    <w:rsid w:val="000A6550"/>
    <w:rsid w:val="000A6C18"/>
    <w:rsid w:val="000A6E8D"/>
    <w:rsid w:val="000B060A"/>
    <w:rsid w:val="000B0A5C"/>
    <w:rsid w:val="000B28B5"/>
    <w:rsid w:val="000B5200"/>
    <w:rsid w:val="000B5FA6"/>
    <w:rsid w:val="000B746F"/>
    <w:rsid w:val="000C0D62"/>
    <w:rsid w:val="000C37AE"/>
    <w:rsid w:val="000C4A0E"/>
    <w:rsid w:val="000D3C2B"/>
    <w:rsid w:val="000D4829"/>
    <w:rsid w:val="000E171E"/>
    <w:rsid w:val="000E2869"/>
    <w:rsid w:val="000E4622"/>
    <w:rsid w:val="000E6403"/>
    <w:rsid w:val="000E70BB"/>
    <w:rsid w:val="000F1C7E"/>
    <w:rsid w:val="000F5200"/>
    <w:rsid w:val="000F52F5"/>
    <w:rsid w:val="000F5958"/>
    <w:rsid w:val="000F69B6"/>
    <w:rsid w:val="000F7C13"/>
    <w:rsid w:val="00100EF4"/>
    <w:rsid w:val="001028DB"/>
    <w:rsid w:val="00102D41"/>
    <w:rsid w:val="0010351D"/>
    <w:rsid w:val="001037BB"/>
    <w:rsid w:val="00106534"/>
    <w:rsid w:val="00111CD2"/>
    <w:rsid w:val="0011381E"/>
    <w:rsid w:val="00123706"/>
    <w:rsid w:val="001251FE"/>
    <w:rsid w:val="00126EF2"/>
    <w:rsid w:val="00127083"/>
    <w:rsid w:val="00127689"/>
    <w:rsid w:val="0013268A"/>
    <w:rsid w:val="001333C0"/>
    <w:rsid w:val="001338CD"/>
    <w:rsid w:val="00133D39"/>
    <w:rsid w:val="0013494A"/>
    <w:rsid w:val="00134B8A"/>
    <w:rsid w:val="00135007"/>
    <w:rsid w:val="00136BB1"/>
    <w:rsid w:val="00136CF4"/>
    <w:rsid w:val="00141412"/>
    <w:rsid w:val="00142F39"/>
    <w:rsid w:val="0014399E"/>
    <w:rsid w:val="00145722"/>
    <w:rsid w:val="0014711A"/>
    <w:rsid w:val="00155CD7"/>
    <w:rsid w:val="0015630C"/>
    <w:rsid w:val="00157E88"/>
    <w:rsid w:val="001636F9"/>
    <w:rsid w:val="00165AA2"/>
    <w:rsid w:val="001664E1"/>
    <w:rsid w:val="00166DC0"/>
    <w:rsid w:val="001670DB"/>
    <w:rsid w:val="00170F67"/>
    <w:rsid w:val="0017300C"/>
    <w:rsid w:val="00173D29"/>
    <w:rsid w:val="00174142"/>
    <w:rsid w:val="00174469"/>
    <w:rsid w:val="00176672"/>
    <w:rsid w:val="00177A3B"/>
    <w:rsid w:val="001851EE"/>
    <w:rsid w:val="001860D6"/>
    <w:rsid w:val="00186CAC"/>
    <w:rsid w:val="00190A3D"/>
    <w:rsid w:val="001919CA"/>
    <w:rsid w:val="001A20B1"/>
    <w:rsid w:val="001A3172"/>
    <w:rsid w:val="001A3B4C"/>
    <w:rsid w:val="001A3FB4"/>
    <w:rsid w:val="001A4237"/>
    <w:rsid w:val="001A5133"/>
    <w:rsid w:val="001A605C"/>
    <w:rsid w:val="001B1C48"/>
    <w:rsid w:val="001B2272"/>
    <w:rsid w:val="001B3FFB"/>
    <w:rsid w:val="001B5E7C"/>
    <w:rsid w:val="001B7B54"/>
    <w:rsid w:val="001C0477"/>
    <w:rsid w:val="001C04F2"/>
    <w:rsid w:val="001C361F"/>
    <w:rsid w:val="001C509F"/>
    <w:rsid w:val="001C5DCB"/>
    <w:rsid w:val="001C6D5E"/>
    <w:rsid w:val="001C6E13"/>
    <w:rsid w:val="001C7C0B"/>
    <w:rsid w:val="001D00FB"/>
    <w:rsid w:val="001D0B59"/>
    <w:rsid w:val="001D154A"/>
    <w:rsid w:val="001D235A"/>
    <w:rsid w:val="001D294F"/>
    <w:rsid w:val="001D57C8"/>
    <w:rsid w:val="001D6527"/>
    <w:rsid w:val="001D6557"/>
    <w:rsid w:val="001E0BD5"/>
    <w:rsid w:val="001E4B6F"/>
    <w:rsid w:val="001F47A4"/>
    <w:rsid w:val="001F56CE"/>
    <w:rsid w:val="001F6970"/>
    <w:rsid w:val="001F7685"/>
    <w:rsid w:val="00201821"/>
    <w:rsid w:val="002018F0"/>
    <w:rsid w:val="002025AE"/>
    <w:rsid w:val="002042AC"/>
    <w:rsid w:val="002056C7"/>
    <w:rsid w:val="0020742F"/>
    <w:rsid w:val="002077D3"/>
    <w:rsid w:val="002100D8"/>
    <w:rsid w:val="00210EE0"/>
    <w:rsid w:val="00212EA2"/>
    <w:rsid w:val="00214999"/>
    <w:rsid w:val="00215E5F"/>
    <w:rsid w:val="0022126B"/>
    <w:rsid w:val="00221D34"/>
    <w:rsid w:val="00221E8D"/>
    <w:rsid w:val="002233DD"/>
    <w:rsid w:val="002252AE"/>
    <w:rsid w:val="002330A7"/>
    <w:rsid w:val="00234993"/>
    <w:rsid w:val="00236512"/>
    <w:rsid w:val="002365D6"/>
    <w:rsid w:val="00236D12"/>
    <w:rsid w:val="00241CB5"/>
    <w:rsid w:val="002435F9"/>
    <w:rsid w:val="002461B5"/>
    <w:rsid w:val="002464B1"/>
    <w:rsid w:val="002476B1"/>
    <w:rsid w:val="0024782B"/>
    <w:rsid w:val="002516CB"/>
    <w:rsid w:val="0025346C"/>
    <w:rsid w:val="00256774"/>
    <w:rsid w:val="0026316E"/>
    <w:rsid w:val="002641B9"/>
    <w:rsid w:val="0026789A"/>
    <w:rsid w:val="00271305"/>
    <w:rsid w:val="002728AF"/>
    <w:rsid w:val="00275A90"/>
    <w:rsid w:val="00275E21"/>
    <w:rsid w:val="00276EDE"/>
    <w:rsid w:val="0028064F"/>
    <w:rsid w:val="00280973"/>
    <w:rsid w:val="00281496"/>
    <w:rsid w:val="00283A01"/>
    <w:rsid w:val="002843A2"/>
    <w:rsid w:val="00284407"/>
    <w:rsid w:val="0029040D"/>
    <w:rsid w:val="00290656"/>
    <w:rsid w:val="00293CC7"/>
    <w:rsid w:val="002972BC"/>
    <w:rsid w:val="002A7AB2"/>
    <w:rsid w:val="002B73BF"/>
    <w:rsid w:val="002C1A7E"/>
    <w:rsid w:val="002C42C2"/>
    <w:rsid w:val="002C533C"/>
    <w:rsid w:val="002C73F5"/>
    <w:rsid w:val="002C7D0B"/>
    <w:rsid w:val="002D18E2"/>
    <w:rsid w:val="002D4298"/>
    <w:rsid w:val="002D4780"/>
    <w:rsid w:val="002D4976"/>
    <w:rsid w:val="002D4C83"/>
    <w:rsid w:val="002D4D2D"/>
    <w:rsid w:val="002D53CD"/>
    <w:rsid w:val="002E1132"/>
    <w:rsid w:val="002E1C7B"/>
    <w:rsid w:val="002E2F0D"/>
    <w:rsid w:val="002E3CF4"/>
    <w:rsid w:val="002E461E"/>
    <w:rsid w:val="002E4DDB"/>
    <w:rsid w:val="002E668F"/>
    <w:rsid w:val="002E6C7E"/>
    <w:rsid w:val="002E76AB"/>
    <w:rsid w:val="002F00DC"/>
    <w:rsid w:val="002F04CC"/>
    <w:rsid w:val="002F26D3"/>
    <w:rsid w:val="002F7B18"/>
    <w:rsid w:val="00305AD7"/>
    <w:rsid w:val="00306253"/>
    <w:rsid w:val="00307FC9"/>
    <w:rsid w:val="003102F6"/>
    <w:rsid w:val="0031072D"/>
    <w:rsid w:val="00310D6C"/>
    <w:rsid w:val="00311105"/>
    <w:rsid w:val="00316901"/>
    <w:rsid w:val="00321646"/>
    <w:rsid w:val="00322619"/>
    <w:rsid w:val="003227E1"/>
    <w:rsid w:val="00322B73"/>
    <w:rsid w:val="003265AF"/>
    <w:rsid w:val="00332668"/>
    <w:rsid w:val="00334FA4"/>
    <w:rsid w:val="003368A4"/>
    <w:rsid w:val="00336D5D"/>
    <w:rsid w:val="0034050E"/>
    <w:rsid w:val="00342201"/>
    <w:rsid w:val="00344707"/>
    <w:rsid w:val="003450CE"/>
    <w:rsid w:val="003466B0"/>
    <w:rsid w:val="003505FB"/>
    <w:rsid w:val="0035093B"/>
    <w:rsid w:val="00350F81"/>
    <w:rsid w:val="00350F98"/>
    <w:rsid w:val="00351DC4"/>
    <w:rsid w:val="003533FD"/>
    <w:rsid w:val="003539E5"/>
    <w:rsid w:val="00360450"/>
    <w:rsid w:val="003655D2"/>
    <w:rsid w:val="00370762"/>
    <w:rsid w:val="003711C7"/>
    <w:rsid w:val="00371C16"/>
    <w:rsid w:val="0037233B"/>
    <w:rsid w:val="003769EF"/>
    <w:rsid w:val="0037794B"/>
    <w:rsid w:val="003807E1"/>
    <w:rsid w:val="00384984"/>
    <w:rsid w:val="003871E7"/>
    <w:rsid w:val="00393F7E"/>
    <w:rsid w:val="00395CC5"/>
    <w:rsid w:val="003A3918"/>
    <w:rsid w:val="003B05AC"/>
    <w:rsid w:val="003B2615"/>
    <w:rsid w:val="003B2BF3"/>
    <w:rsid w:val="003B2DBE"/>
    <w:rsid w:val="003B54C3"/>
    <w:rsid w:val="003B5E25"/>
    <w:rsid w:val="003B6E75"/>
    <w:rsid w:val="003C0246"/>
    <w:rsid w:val="003C081C"/>
    <w:rsid w:val="003C36AC"/>
    <w:rsid w:val="003C45DA"/>
    <w:rsid w:val="003C6DC0"/>
    <w:rsid w:val="003D2508"/>
    <w:rsid w:val="003D2DCF"/>
    <w:rsid w:val="003E03C0"/>
    <w:rsid w:val="003E17E9"/>
    <w:rsid w:val="003E360D"/>
    <w:rsid w:val="003E3DEF"/>
    <w:rsid w:val="003E479B"/>
    <w:rsid w:val="003E47DA"/>
    <w:rsid w:val="003E4D8A"/>
    <w:rsid w:val="003E5869"/>
    <w:rsid w:val="003F0088"/>
    <w:rsid w:val="003F0EF4"/>
    <w:rsid w:val="003F1A23"/>
    <w:rsid w:val="003F2101"/>
    <w:rsid w:val="003F2AE6"/>
    <w:rsid w:val="003F303D"/>
    <w:rsid w:val="003F4F13"/>
    <w:rsid w:val="004004E5"/>
    <w:rsid w:val="00405820"/>
    <w:rsid w:val="00413659"/>
    <w:rsid w:val="00413868"/>
    <w:rsid w:val="00414815"/>
    <w:rsid w:val="00415BE3"/>
    <w:rsid w:val="00417A79"/>
    <w:rsid w:val="0042297E"/>
    <w:rsid w:val="00432297"/>
    <w:rsid w:val="004378B2"/>
    <w:rsid w:val="00440364"/>
    <w:rsid w:val="00442CE5"/>
    <w:rsid w:val="00442E2D"/>
    <w:rsid w:val="00443815"/>
    <w:rsid w:val="004454B4"/>
    <w:rsid w:val="00445525"/>
    <w:rsid w:val="00453E7B"/>
    <w:rsid w:val="0045429A"/>
    <w:rsid w:val="004544BB"/>
    <w:rsid w:val="00455405"/>
    <w:rsid w:val="00455A55"/>
    <w:rsid w:val="00455CF8"/>
    <w:rsid w:val="00455D78"/>
    <w:rsid w:val="00456013"/>
    <w:rsid w:val="004603C0"/>
    <w:rsid w:val="004632C4"/>
    <w:rsid w:val="00464F16"/>
    <w:rsid w:val="0046569C"/>
    <w:rsid w:val="00466687"/>
    <w:rsid w:val="00467642"/>
    <w:rsid w:val="0046787F"/>
    <w:rsid w:val="00467D18"/>
    <w:rsid w:val="00471C85"/>
    <w:rsid w:val="00471ED9"/>
    <w:rsid w:val="004733E6"/>
    <w:rsid w:val="004742EC"/>
    <w:rsid w:val="004807B4"/>
    <w:rsid w:val="00482714"/>
    <w:rsid w:val="00486F12"/>
    <w:rsid w:val="0049062A"/>
    <w:rsid w:val="00490928"/>
    <w:rsid w:val="00491874"/>
    <w:rsid w:val="004A1765"/>
    <w:rsid w:val="004A49EC"/>
    <w:rsid w:val="004A5B14"/>
    <w:rsid w:val="004B26A9"/>
    <w:rsid w:val="004B339C"/>
    <w:rsid w:val="004B60A2"/>
    <w:rsid w:val="004B748D"/>
    <w:rsid w:val="004C01FD"/>
    <w:rsid w:val="004C0F6A"/>
    <w:rsid w:val="004C1D5F"/>
    <w:rsid w:val="004C25C6"/>
    <w:rsid w:val="004C54CB"/>
    <w:rsid w:val="004C5764"/>
    <w:rsid w:val="004C5C80"/>
    <w:rsid w:val="004D0FF2"/>
    <w:rsid w:val="004D2375"/>
    <w:rsid w:val="004D2B1E"/>
    <w:rsid w:val="004D51CF"/>
    <w:rsid w:val="004D750C"/>
    <w:rsid w:val="004E08B9"/>
    <w:rsid w:val="004E20DF"/>
    <w:rsid w:val="004E2BA9"/>
    <w:rsid w:val="004E2FBD"/>
    <w:rsid w:val="004E5A13"/>
    <w:rsid w:val="004E60BA"/>
    <w:rsid w:val="004E7D13"/>
    <w:rsid w:val="004E7EF1"/>
    <w:rsid w:val="004F605D"/>
    <w:rsid w:val="004F6E78"/>
    <w:rsid w:val="00506E3A"/>
    <w:rsid w:val="00506EC7"/>
    <w:rsid w:val="00507CB6"/>
    <w:rsid w:val="00511287"/>
    <w:rsid w:val="00512F55"/>
    <w:rsid w:val="00514FEC"/>
    <w:rsid w:val="0051557A"/>
    <w:rsid w:val="00520C8F"/>
    <w:rsid w:val="005215A0"/>
    <w:rsid w:val="00527B36"/>
    <w:rsid w:val="00531784"/>
    <w:rsid w:val="005319ED"/>
    <w:rsid w:val="005457E8"/>
    <w:rsid w:val="005474D2"/>
    <w:rsid w:val="0055157D"/>
    <w:rsid w:val="0055168D"/>
    <w:rsid w:val="00553740"/>
    <w:rsid w:val="00555FCA"/>
    <w:rsid w:val="0056246F"/>
    <w:rsid w:val="00563C78"/>
    <w:rsid w:val="005659F3"/>
    <w:rsid w:val="00566DC1"/>
    <w:rsid w:val="00567AED"/>
    <w:rsid w:val="0057401B"/>
    <w:rsid w:val="00574ACB"/>
    <w:rsid w:val="005845A4"/>
    <w:rsid w:val="00585BF3"/>
    <w:rsid w:val="0059283C"/>
    <w:rsid w:val="00592975"/>
    <w:rsid w:val="00593623"/>
    <w:rsid w:val="005942DF"/>
    <w:rsid w:val="00594FB6"/>
    <w:rsid w:val="0059581B"/>
    <w:rsid w:val="00595E6E"/>
    <w:rsid w:val="005968A9"/>
    <w:rsid w:val="00597106"/>
    <w:rsid w:val="00597EA9"/>
    <w:rsid w:val="00597F2F"/>
    <w:rsid w:val="005A08E9"/>
    <w:rsid w:val="005A231C"/>
    <w:rsid w:val="005A3770"/>
    <w:rsid w:val="005A7DA7"/>
    <w:rsid w:val="005B117A"/>
    <w:rsid w:val="005B1EB5"/>
    <w:rsid w:val="005B4D48"/>
    <w:rsid w:val="005B63A2"/>
    <w:rsid w:val="005B792C"/>
    <w:rsid w:val="005C0014"/>
    <w:rsid w:val="005C09C3"/>
    <w:rsid w:val="005C23D1"/>
    <w:rsid w:val="005D1BA6"/>
    <w:rsid w:val="005D64F9"/>
    <w:rsid w:val="005E0718"/>
    <w:rsid w:val="005E1419"/>
    <w:rsid w:val="005E4854"/>
    <w:rsid w:val="005E7997"/>
    <w:rsid w:val="005F332E"/>
    <w:rsid w:val="005F36FF"/>
    <w:rsid w:val="005F4D70"/>
    <w:rsid w:val="005F7D2A"/>
    <w:rsid w:val="00602DD2"/>
    <w:rsid w:val="00603283"/>
    <w:rsid w:val="00603ED6"/>
    <w:rsid w:val="00605881"/>
    <w:rsid w:val="00606232"/>
    <w:rsid w:val="006104B8"/>
    <w:rsid w:val="00610AFB"/>
    <w:rsid w:val="00613517"/>
    <w:rsid w:val="006141D9"/>
    <w:rsid w:val="006151B5"/>
    <w:rsid w:val="00620351"/>
    <w:rsid w:val="00620556"/>
    <w:rsid w:val="0062072D"/>
    <w:rsid w:val="0062092F"/>
    <w:rsid w:val="00621DD2"/>
    <w:rsid w:val="00625862"/>
    <w:rsid w:val="00625B5A"/>
    <w:rsid w:val="00632566"/>
    <w:rsid w:val="00635726"/>
    <w:rsid w:val="00636998"/>
    <w:rsid w:val="00636E7D"/>
    <w:rsid w:val="0063798B"/>
    <w:rsid w:val="00641B0D"/>
    <w:rsid w:val="006431E8"/>
    <w:rsid w:val="00643EE7"/>
    <w:rsid w:val="00644FD6"/>
    <w:rsid w:val="0065037B"/>
    <w:rsid w:val="00650899"/>
    <w:rsid w:val="00656EDB"/>
    <w:rsid w:val="00660E24"/>
    <w:rsid w:val="00662639"/>
    <w:rsid w:val="00663687"/>
    <w:rsid w:val="00664979"/>
    <w:rsid w:val="0066522A"/>
    <w:rsid w:val="00670524"/>
    <w:rsid w:val="00672433"/>
    <w:rsid w:val="006751D2"/>
    <w:rsid w:val="0067699D"/>
    <w:rsid w:val="006804DC"/>
    <w:rsid w:val="006820D8"/>
    <w:rsid w:val="006911F2"/>
    <w:rsid w:val="00695395"/>
    <w:rsid w:val="00695DB8"/>
    <w:rsid w:val="00696059"/>
    <w:rsid w:val="00696FAD"/>
    <w:rsid w:val="006978D5"/>
    <w:rsid w:val="006A68EF"/>
    <w:rsid w:val="006A6DD0"/>
    <w:rsid w:val="006A6EB1"/>
    <w:rsid w:val="006B1245"/>
    <w:rsid w:val="006B283B"/>
    <w:rsid w:val="006B3C83"/>
    <w:rsid w:val="006B4FD3"/>
    <w:rsid w:val="006B52A2"/>
    <w:rsid w:val="006B5B28"/>
    <w:rsid w:val="006C0789"/>
    <w:rsid w:val="006C28F4"/>
    <w:rsid w:val="006C46B0"/>
    <w:rsid w:val="006C6E6E"/>
    <w:rsid w:val="006D0885"/>
    <w:rsid w:val="006D13E0"/>
    <w:rsid w:val="006D2843"/>
    <w:rsid w:val="006D43FE"/>
    <w:rsid w:val="006D4710"/>
    <w:rsid w:val="006D5207"/>
    <w:rsid w:val="006D6030"/>
    <w:rsid w:val="006D66D2"/>
    <w:rsid w:val="006D70BB"/>
    <w:rsid w:val="006E0021"/>
    <w:rsid w:val="006E0A48"/>
    <w:rsid w:val="006E0CDE"/>
    <w:rsid w:val="006E1841"/>
    <w:rsid w:val="006E3196"/>
    <w:rsid w:val="006E3FB4"/>
    <w:rsid w:val="006E40DC"/>
    <w:rsid w:val="006E56E0"/>
    <w:rsid w:val="006E5CD6"/>
    <w:rsid w:val="006E77BB"/>
    <w:rsid w:val="006F0AAC"/>
    <w:rsid w:val="006F0D64"/>
    <w:rsid w:val="007019A4"/>
    <w:rsid w:val="00701FF6"/>
    <w:rsid w:val="00702FCF"/>
    <w:rsid w:val="00703DE3"/>
    <w:rsid w:val="00704E40"/>
    <w:rsid w:val="00705754"/>
    <w:rsid w:val="00706067"/>
    <w:rsid w:val="00707132"/>
    <w:rsid w:val="007102F3"/>
    <w:rsid w:val="00711669"/>
    <w:rsid w:val="0071212D"/>
    <w:rsid w:val="007136DB"/>
    <w:rsid w:val="007150C7"/>
    <w:rsid w:val="007176B1"/>
    <w:rsid w:val="00717BC8"/>
    <w:rsid w:val="00720D36"/>
    <w:rsid w:val="00724C34"/>
    <w:rsid w:val="00726A34"/>
    <w:rsid w:val="00726D04"/>
    <w:rsid w:val="00745E3E"/>
    <w:rsid w:val="007507B4"/>
    <w:rsid w:val="00751C83"/>
    <w:rsid w:val="00753DA3"/>
    <w:rsid w:val="00755DB8"/>
    <w:rsid w:val="00755F70"/>
    <w:rsid w:val="00757E2C"/>
    <w:rsid w:val="00761947"/>
    <w:rsid w:val="00762F0A"/>
    <w:rsid w:val="0076319F"/>
    <w:rsid w:val="007637F6"/>
    <w:rsid w:val="0076440B"/>
    <w:rsid w:val="00767E20"/>
    <w:rsid w:val="00767EF4"/>
    <w:rsid w:val="0077052D"/>
    <w:rsid w:val="00770CDB"/>
    <w:rsid w:val="0077336C"/>
    <w:rsid w:val="007761D8"/>
    <w:rsid w:val="0077670C"/>
    <w:rsid w:val="0077691E"/>
    <w:rsid w:val="00776BA1"/>
    <w:rsid w:val="007779A8"/>
    <w:rsid w:val="00777FFE"/>
    <w:rsid w:val="0078165A"/>
    <w:rsid w:val="00782280"/>
    <w:rsid w:val="00783531"/>
    <w:rsid w:val="00783FBC"/>
    <w:rsid w:val="00785549"/>
    <w:rsid w:val="00786787"/>
    <w:rsid w:val="0079207D"/>
    <w:rsid w:val="00794693"/>
    <w:rsid w:val="007950A0"/>
    <w:rsid w:val="007A274E"/>
    <w:rsid w:val="007A2CA4"/>
    <w:rsid w:val="007A3996"/>
    <w:rsid w:val="007A5621"/>
    <w:rsid w:val="007A6DA5"/>
    <w:rsid w:val="007A7E76"/>
    <w:rsid w:val="007B0A1C"/>
    <w:rsid w:val="007B271D"/>
    <w:rsid w:val="007B422E"/>
    <w:rsid w:val="007C3A34"/>
    <w:rsid w:val="007C4684"/>
    <w:rsid w:val="007C4C9A"/>
    <w:rsid w:val="007C5616"/>
    <w:rsid w:val="007C5B5D"/>
    <w:rsid w:val="007D0D25"/>
    <w:rsid w:val="007D0EDD"/>
    <w:rsid w:val="007D6231"/>
    <w:rsid w:val="007D7113"/>
    <w:rsid w:val="007E1310"/>
    <w:rsid w:val="007E5387"/>
    <w:rsid w:val="007E55C2"/>
    <w:rsid w:val="007F0485"/>
    <w:rsid w:val="007F139F"/>
    <w:rsid w:val="007F235F"/>
    <w:rsid w:val="007F30BF"/>
    <w:rsid w:val="007F6CA2"/>
    <w:rsid w:val="007F79C4"/>
    <w:rsid w:val="00800B1B"/>
    <w:rsid w:val="0080136C"/>
    <w:rsid w:val="00804FAB"/>
    <w:rsid w:val="008055E3"/>
    <w:rsid w:val="008062C7"/>
    <w:rsid w:val="00807E63"/>
    <w:rsid w:val="00811CCA"/>
    <w:rsid w:val="008149B0"/>
    <w:rsid w:val="00815163"/>
    <w:rsid w:val="008156A2"/>
    <w:rsid w:val="00815BEF"/>
    <w:rsid w:val="0081627D"/>
    <w:rsid w:val="00816CE4"/>
    <w:rsid w:val="0081737A"/>
    <w:rsid w:val="00817C4F"/>
    <w:rsid w:val="00822F0A"/>
    <w:rsid w:val="00822FA0"/>
    <w:rsid w:val="0082323A"/>
    <w:rsid w:val="008234A1"/>
    <w:rsid w:val="00823E2D"/>
    <w:rsid w:val="008271CE"/>
    <w:rsid w:val="00827AC5"/>
    <w:rsid w:val="00827D9A"/>
    <w:rsid w:val="00841CD6"/>
    <w:rsid w:val="00843078"/>
    <w:rsid w:val="00846028"/>
    <w:rsid w:val="008468A3"/>
    <w:rsid w:val="0085007F"/>
    <w:rsid w:val="008500B0"/>
    <w:rsid w:val="00850740"/>
    <w:rsid w:val="00852F10"/>
    <w:rsid w:val="008533E0"/>
    <w:rsid w:val="00855C64"/>
    <w:rsid w:val="00856688"/>
    <w:rsid w:val="00857C0B"/>
    <w:rsid w:val="00860C52"/>
    <w:rsid w:val="008614A3"/>
    <w:rsid w:val="00863D03"/>
    <w:rsid w:val="0086562B"/>
    <w:rsid w:val="008679EF"/>
    <w:rsid w:val="00867CBF"/>
    <w:rsid w:val="0087024B"/>
    <w:rsid w:val="008710F2"/>
    <w:rsid w:val="00872A91"/>
    <w:rsid w:val="0087370A"/>
    <w:rsid w:val="008758E9"/>
    <w:rsid w:val="0087625A"/>
    <w:rsid w:val="00883040"/>
    <w:rsid w:val="008861B2"/>
    <w:rsid w:val="008874C0"/>
    <w:rsid w:val="00890606"/>
    <w:rsid w:val="008912BB"/>
    <w:rsid w:val="0089706C"/>
    <w:rsid w:val="008A3315"/>
    <w:rsid w:val="008A3661"/>
    <w:rsid w:val="008A3EFE"/>
    <w:rsid w:val="008A6A4E"/>
    <w:rsid w:val="008B1188"/>
    <w:rsid w:val="008B1740"/>
    <w:rsid w:val="008B1B5B"/>
    <w:rsid w:val="008B206A"/>
    <w:rsid w:val="008B2D65"/>
    <w:rsid w:val="008B533B"/>
    <w:rsid w:val="008C0A74"/>
    <w:rsid w:val="008C0E56"/>
    <w:rsid w:val="008C2718"/>
    <w:rsid w:val="008C4FD0"/>
    <w:rsid w:val="008C6054"/>
    <w:rsid w:val="008C6916"/>
    <w:rsid w:val="008C7923"/>
    <w:rsid w:val="008D020C"/>
    <w:rsid w:val="008D1DDE"/>
    <w:rsid w:val="008D7E89"/>
    <w:rsid w:val="008E147C"/>
    <w:rsid w:val="008E18BC"/>
    <w:rsid w:val="008E1ECE"/>
    <w:rsid w:val="008E4404"/>
    <w:rsid w:val="008E48BA"/>
    <w:rsid w:val="008F2FFE"/>
    <w:rsid w:val="008F40A1"/>
    <w:rsid w:val="008F63F5"/>
    <w:rsid w:val="008F66AF"/>
    <w:rsid w:val="008F7624"/>
    <w:rsid w:val="0090109C"/>
    <w:rsid w:val="00902B63"/>
    <w:rsid w:val="00904168"/>
    <w:rsid w:val="009049BE"/>
    <w:rsid w:val="00904D49"/>
    <w:rsid w:val="0090525A"/>
    <w:rsid w:val="00906DEC"/>
    <w:rsid w:val="00912E7E"/>
    <w:rsid w:val="00913186"/>
    <w:rsid w:val="00913A11"/>
    <w:rsid w:val="00913DE7"/>
    <w:rsid w:val="009145B3"/>
    <w:rsid w:val="009147D4"/>
    <w:rsid w:val="0091687C"/>
    <w:rsid w:val="0091691F"/>
    <w:rsid w:val="00920ACA"/>
    <w:rsid w:val="00921FD2"/>
    <w:rsid w:val="009234E8"/>
    <w:rsid w:val="00923693"/>
    <w:rsid w:val="009241C5"/>
    <w:rsid w:val="00926321"/>
    <w:rsid w:val="00927541"/>
    <w:rsid w:val="00933AF0"/>
    <w:rsid w:val="009434F9"/>
    <w:rsid w:val="00944673"/>
    <w:rsid w:val="00946D0D"/>
    <w:rsid w:val="00947319"/>
    <w:rsid w:val="009477D0"/>
    <w:rsid w:val="00950043"/>
    <w:rsid w:val="00950ED7"/>
    <w:rsid w:val="00960732"/>
    <w:rsid w:val="009615A3"/>
    <w:rsid w:val="00961849"/>
    <w:rsid w:val="009623F8"/>
    <w:rsid w:val="0096244B"/>
    <w:rsid w:val="00964098"/>
    <w:rsid w:val="00964249"/>
    <w:rsid w:val="00966C89"/>
    <w:rsid w:val="009675F6"/>
    <w:rsid w:val="009706BC"/>
    <w:rsid w:val="009707DA"/>
    <w:rsid w:val="009754F5"/>
    <w:rsid w:val="00976CFC"/>
    <w:rsid w:val="00980F0C"/>
    <w:rsid w:val="00986219"/>
    <w:rsid w:val="00990F2B"/>
    <w:rsid w:val="009939EB"/>
    <w:rsid w:val="009946D1"/>
    <w:rsid w:val="009A0CE4"/>
    <w:rsid w:val="009A2E7C"/>
    <w:rsid w:val="009A3E10"/>
    <w:rsid w:val="009A585B"/>
    <w:rsid w:val="009A70FF"/>
    <w:rsid w:val="009A7CD8"/>
    <w:rsid w:val="009B0BA3"/>
    <w:rsid w:val="009B11F3"/>
    <w:rsid w:val="009B336E"/>
    <w:rsid w:val="009B379C"/>
    <w:rsid w:val="009B685B"/>
    <w:rsid w:val="009B7F84"/>
    <w:rsid w:val="009B7F88"/>
    <w:rsid w:val="009C0596"/>
    <w:rsid w:val="009C09CB"/>
    <w:rsid w:val="009C1409"/>
    <w:rsid w:val="009C1C82"/>
    <w:rsid w:val="009C3AC0"/>
    <w:rsid w:val="009C57C3"/>
    <w:rsid w:val="009D5BCF"/>
    <w:rsid w:val="009D6FA9"/>
    <w:rsid w:val="009D7BB8"/>
    <w:rsid w:val="009E0E76"/>
    <w:rsid w:val="009E44C6"/>
    <w:rsid w:val="009E57E5"/>
    <w:rsid w:val="009E677C"/>
    <w:rsid w:val="009E79DC"/>
    <w:rsid w:val="009E7D00"/>
    <w:rsid w:val="009F2B61"/>
    <w:rsid w:val="009F30A5"/>
    <w:rsid w:val="009F4A96"/>
    <w:rsid w:val="009F5EE2"/>
    <w:rsid w:val="00A04B45"/>
    <w:rsid w:val="00A05F3C"/>
    <w:rsid w:val="00A0651B"/>
    <w:rsid w:val="00A12FB8"/>
    <w:rsid w:val="00A17863"/>
    <w:rsid w:val="00A17F60"/>
    <w:rsid w:val="00A20F79"/>
    <w:rsid w:val="00A211C1"/>
    <w:rsid w:val="00A24F9D"/>
    <w:rsid w:val="00A25D39"/>
    <w:rsid w:val="00A26E90"/>
    <w:rsid w:val="00A279D7"/>
    <w:rsid w:val="00A30C4B"/>
    <w:rsid w:val="00A312C9"/>
    <w:rsid w:val="00A323D6"/>
    <w:rsid w:val="00A340A1"/>
    <w:rsid w:val="00A357F4"/>
    <w:rsid w:val="00A37680"/>
    <w:rsid w:val="00A3784D"/>
    <w:rsid w:val="00A41DD1"/>
    <w:rsid w:val="00A4421F"/>
    <w:rsid w:val="00A450EE"/>
    <w:rsid w:val="00A4524A"/>
    <w:rsid w:val="00A46192"/>
    <w:rsid w:val="00A46B5A"/>
    <w:rsid w:val="00A47E7E"/>
    <w:rsid w:val="00A506C3"/>
    <w:rsid w:val="00A53DCF"/>
    <w:rsid w:val="00A548DA"/>
    <w:rsid w:val="00A54D6F"/>
    <w:rsid w:val="00A55216"/>
    <w:rsid w:val="00A5549E"/>
    <w:rsid w:val="00A6187D"/>
    <w:rsid w:val="00A6318D"/>
    <w:rsid w:val="00A631D9"/>
    <w:rsid w:val="00A67BE6"/>
    <w:rsid w:val="00A70E76"/>
    <w:rsid w:val="00A764AD"/>
    <w:rsid w:val="00A76F0D"/>
    <w:rsid w:val="00A801C3"/>
    <w:rsid w:val="00A8719C"/>
    <w:rsid w:val="00A87926"/>
    <w:rsid w:val="00A91D1C"/>
    <w:rsid w:val="00A923BA"/>
    <w:rsid w:val="00A93EB3"/>
    <w:rsid w:val="00A949CE"/>
    <w:rsid w:val="00A94E95"/>
    <w:rsid w:val="00A95418"/>
    <w:rsid w:val="00A95A8D"/>
    <w:rsid w:val="00A97A55"/>
    <w:rsid w:val="00AA0A96"/>
    <w:rsid w:val="00AA20D7"/>
    <w:rsid w:val="00AA589B"/>
    <w:rsid w:val="00AA6953"/>
    <w:rsid w:val="00AA69E7"/>
    <w:rsid w:val="00AA76E8"/>
    <w:rsid w:val="00AB13D6"/>
    <w:rsid w:val="00AB6194"/>
    <w:rsid w:val="00AB63CC"/>
    <w:rsid w:val="00AB656A"/>
    <w:rsid w:val="00AB744B"/>
    <w:rsid w:val="00AB7EE4"/>
    <w:rsid w:val="00AC1E49"/>
    <w:rsid w:val="00AC3458"/>
    <w:rsid w:val="00AC4963"/>
    <w:rsid w:val="00AC6D6B"/>
    <w:rsid w:val="00AD1B06"/>
    <w:rsid w:val="00AD3761"/>
    <w:rsid w:val="00AD41F9"/>
    <w:rsid w:val="00AD4B8D"/>
    <w:rsid w:val="00AD4BA7"/>
    <w:rsid w:val="00AD69BA"/>
    <w:rsid w:val="00AD6E05"/>
    <w:rsid w:val="00AD6F11"/>
    <w:rsid w:val="00AD7687"/>
    <w:rsid w:val="00AE7E79"/>
    <w:rsid w:val="00AF1F95"/>
    <w:rsid w:val="00AF2BC3"/>
    <w:rsid w:val="00AF3CE4"/>
    <w:rsid w:val="00AF4D97"/>
    <w:rsid w:val="00AF656D"/>
    <w:rsid w:val="00AF65F1"/>
    <w:rsid w:val="00AF66B0"/>
    <w:rsid w:val="00B00442"/>
    <w:rsid w:val="00B004A7"/>
    <w:rsid w:val="00B01453"/>
    <w:rsid w:val="00B01ECC"/>
    <w:rsid w:val="00B033D0"/>
    <w:rsid w:val="00B048B4"/>
    <w:rsid w:val="00B108BB"/>
    <w:rsid w:val="00B10C15"/>
    <w:rsid w:val="00B127A4"/>
    <w:rsid w:val="00B136A4"/>
    <w:rsid w:val="00B137DE"/>
    <w:rsid w:val="00B13BF2"/>
    <w:rsid w:val="00B166C2"/>
    <w:rsid w:val="00B17791"/>
    <w:rsid w:val="00B20E7B"/>
    <w:rsid w:val="00B2195D"/>
    <w:rsid w:val="00B236DF"/>
    <w:rsid w:val="00B268BB"/>
    <w:rsid w:val="00B30571"/>
    <w:rsid w:val="00B319F6"/>
    <w:rsid w:val="00B342FE"/>
    <w:rsid w:val="00B40A51"/>
    <w:rsid w:val="00B41FBD"/>
    <w:rsid w:val="00B42AC0"/>
    <w:rsid w:val="00B45D45"/>
    <w:rsid w:val="00B47143"/>
    <w:rsid w:val="00B47EEE"/>
    <w:rsid w:val="00B5304C"/>
    <w:rsid w:val="00B54C5A"/>
    <w:rsid w:val="00B55F99"/>
    <w:rsid w:val="00B5626C"/>
    <w:rsid w:val="00B602A0"/>
    <w:rsid w:val="00B62B94"/>
    <w:rsid w:val="00B660D7"/>
    <w:rsid w:val="00B666E8"/>
    <w:rsid w:val="00B668D8"/>
    <w:rsid w:val="00B66979"/>
    <w:rsid w:val="00B70044"/>
    <w:rsid w:val="00B70E2E"/>
    <w:rsid w:val="00B74D60"/>
    <w:rsid w:val="00B755E0"/>
    <w:rsid w:val="00B75F98"/>
    <w:rsid w:val="00B772D4"/>
    <w:rsid w:val="00B777D0"/>
    <w:rsid w:val="00B82A3C"/>
    <w:rsid w:val="00B86ECF"/>
    <w:rsid w:val="00B91417"/>
    <w:rsid w:val="00B914F2"/>
    <w:rsid w:val="00B91E70"/>
    <w:rsid w:val="00B92BB7"/>
    <w:rsid w:val="00B961CB"/>
    <w:rsid w:val="00B97401"/>
    <w:rsid w:val="00BA1091"/>
    <w:rsid w:val="00BA1EAD"/>
    <w:rsid w:val="00BA21ED"/>
    <w:rsid w:val="00BA28E7"/>
    <w:rsid w:val="00BA4589"/>
    <w:rsid w:val="00BA5CAC"/>
    <w:rsid w:val="00BB319F"/>
    <w:rsid w:val="00BB4A9B"/>
    <w:rsid w:val="00BC09E8"/>
    <w:rsid w:val="00BC1138"/>
    <w:rsid w:val="00BC3ADD"/>
    <w:rsid w:val="00BC51DE"/>
    <w:rsid w:val="00BC537A"/>
    <w:rsid w:val="00BC604A"/>
    <w:rsid w:val="00BC7602"/>
    <w:rsid w:val="00BD13EF"/>
    <w:rsid w:val="00BD1861"/>
    <w:rsid w:val="00BD3C32"/>
    <w:rsid w:val="00BD612E"/>
    <w:rsid w:val="00BE035A"/>
    <w:rsid w:val="00BE6B45"/>
    <w:rsid w:val="00BF1E3C"/>
    <w:rsid w:val="00BF509A"/>
    <w:rsid w:val="00BF59AC"/>
    <w:rsid w:val="00BF59E1"/>
    <w:rsid w:val="00C0467B"/>
    <w:rsid w:val="00C05EE3"/>
    <w:rsid w:val="00C067EE"/>
    <w:rsid w:val="00C06C5A"/>
    <w:rsid w:val="00C07200"/>
    <w:rsid w:val="00C078B2"/>
    <w:rsid w:val="00C14B03"/>
    <w:rsid w:val="00C17ADA"/>
    <w:rsid w:val="00C209FA"/>
    <w:rsid w:val="00C20D7F"/>
    <w:rsid w:val="00C23C5F"/>
    <w:rsid w:val="00C269DA"/>
    <w:rsid w:val="00C32219"/>
    <w:rsid w:val="00C326F6"/>
    <w:rsid w:val="00C34D84"/>
    <w:rsid w:val="00C367DE"/>
    <w:rsid w:val="00C37F9A"/>
    <w:rsid w:val="00C37FFD"/>
    <w:rsid w:val="00C41071"/>
    <w:rsid w:val="00C426F6"/>
    <w:rsid w:val="00C4541C"/>
    <w:rsid w:val="00C46D13"/>
    <w:rsid w:val="00C50E4F"/>
    <w:rsid w:val="00C52EC2"/>
    <w:rsid w:val="00C53C06"/>
    <w:rsid w:val="00C572A9"/>
    <w:rsid w:val="00C57BC5"/>
    <w:rsid w:val="00C62338"/>
    <w:rsid w:val="00C63C4F"/>
    <w:rsid w:val="00C64051"/>
    <w:rsid w:val="00C6410F"/>
    <w:rsid w:val="00C650CE"/>
    <w:rsid w:val="00C65565"/>
    <w:rsid w:val="00C70986"/>
    <w:rsid w:val="00C709E7"/>
    <w:rsid w:val="00C7582F"/>
    <w:rsid w:val="00C759D4"/>
    <w:rsid w:val="00C760C8"/>
    <w:rsid w:val="00C80278"/>
    <w:rsid w:val="00C8045B"/>
    <w:rsid w:val="00C8097D"/>
    <w:rsid w:val="00C8161B"/>
    <w:rsid w:val="00C84DCC"/>
    <w:rsid w:val="00C84DD6"/>
    <w:rsid w:val="00C857DD"/>
    <w:rsid w:val="00C90486"/>
    <w:rsid w:val="00C919D7"/>
    <w:rsid w:val="00CA1FA7"/>
    <w:rsid w:val="00CA4A89"/>
    <w:rsid w:val="00CA5992"/>
    <w:rsid w:val="00CA5F03"/>
    <w:rsid w:val="00CA66BF"/>
    <w:rsid w:val="00CA6F62"/>
    <w:rsid w:val="00CA7713"/>
    <w:rsid w:val="00CB1911"/>
    <w:rsid w:val="00CB3A13"/>
    <w:rsid w:val="00CB55C0"/>
    <w:rsid w:val="00CB7858"/>
    <w:rsid w:val="00CC04F4"/>
    <w:rsid w:val="00CC27CE"/>
    <w:rsid w:val="00CC4D41"/>
    <w:rsid w:val="00CD1AB8"/>
    <w:rsid w:val="00CD2EE9"/>
    <w:rsid w:val="00CD56AD"/>
    <w:rsid w:val="00CD7CE8"/>
    <w:rsid w:val="00CE1146"/>
    <w:rsid w:val="00CE3AD9"/>
    <w:rsid w:val="00CE5A90"/>
    <w:rsid w:val="00CE61A5"/>
    <w:rsid w:val="00CE63F1"/>
    <w:rsid w:val="00CE6842"/>
    <w:rsid w:val="00CE6938"/>
    <w:rsid w:val="00CE7D08"/>
    <w:rsid w:val="00CF1C48"/>
    <w:rsid w:val="00CF26C5"/>
    <w:rsid w:val="00CF3F95"/>
    <w:rsid w:val="00CF3FCD"/>
    <w:rsid w:val="00CF59B8"/>
    <w:rsid w:val="00CF6187"/>
    <w:rsid w:val="00D042B5"/>
    <w:rsid w:val="00D04927"/>
    <w:rsid w:val="00D05C75"/>
    <w:rsid w:val="00D06564"/>
    <w:rsid w:val="00D06915"/>
    <w:rsid w:val="00D10031"/>
    <w:rsid w:val="00D11057"/>
    <w:rsid w:val="00D1113B"/>
    <w:rsid w:val="00D12B19"/>
    <w:rsid w:val="00D14A3B"/>
    <w:rsid w:val="00D14DAA"/>
    <w:rsid w:val="00D158EB"/>
    <w:rsid w:val="00D1702A"/>
    <w:rsid w:val="00D17F92"/>
    <w:rsid w:val="00D22CB6"/>
    <w:rsid w:val="00D23B11"/>
    <w:rsid w:val="00D257C3"/>
    <w:rsid w:val="00D3396F"/>
    <w:rsid w:val="00D367E4"/>
    <w:rsid w:val="00D36921"/>
    <w:rsid w:val="00D44D72"/>
    <w:rsid w:val="00D507EB"/>
    <w:rsid w:val="00D517B8"/>
    <w:rsid w:val="00D52277"/>
    <w:rsid w:val="00D5291F"/>
    <w:rsid w:val="00D52EBE"/>
    <w:rsid w:val="00D5586F"/>
    <w:rsid w:val="00D57F72"/>
    <w:rsid w:val="00D653A2"/>
    <w:rsid w:val="00D657BA"/>
    <w:rsid w:val="00D71516"/>
    <w:rsid w:val="00D73DFF"/>
    <w:rsid w:val="00D7486E"/>
    <w:rsid w:val="00D76D6D"/>
    <w:rsid w:val="00D76E8F"/>
    <w:rsid w:val="00D77AB3"/>
    <w:rsid w:val="00D77F5F"/>
    <w:rsid w:val="00D810E4"/>
    <w:rsid w:val="00D81771"/>
    <w:rsid w:val="00D84365"/>
    <w:rsid w:val="00D87BF8"/>
    <w:rsid w:val="00D87E73"/>
    <w:rsid w:val="00D87E75"/>
    <w:rsid w:val="00D920C0"/>
    <w:rsid w:val="00D94B19"/>
    <w:rsid w:val="00D94D70"/>
    <w:rsid w:val="00D94E42"/>
    <w:rsid w:val="00D96908"/>
    <w:rsid w:val="00D977E2"/>
    <w:rsid w:val="00DA148B"/>
    <w:rsid w:val="00DA1D34"/>
    <w:rsid w:val="00DA2205"/>
    <w:rsid w:val="00DA3FD7"/>
    <w:rsid w:val="00DA406C"/>
    <w:rsid w:val="00DA7164"/>
    <w:rsid w:val="00DA736B"/>
    <w:rsid w:val="00DB22E8"/>
    <w:rsid w:val="00DB3DA8"/>
    <w:rsid w:val="00DB4224"/>
    <w:rsid w:val="00DB73EC"/>
    <w:rsid w:val="00DC1262"/>
    <w:rsid w:val="00DC49A2"/>
    <w:rsid w:val="00DC65D0"/>
    <w:rsid w:val="00DC72BF"/>
    <w:rsid w:val="00DC74EE"/>
    <w:rsid w:val="00DD3043"/>
    <w:rsid w:val="00DD3C49"/>
    <w:rsid w:val="00DD52B7"/>
    <w:rsid w:val="00DD5983"/>
    <w:rsid w:val="00DD76D6"/>
    <w:rsid w:val="00DD7FDC"/>
    <w:rsid w:val="00DE438E"/>
    <w:rsid w:val="00DE5C8D"/>
    <w:rsid w:val="00DE7EEA"/>
    <w:rsid w:val="00DF06CE"/>
    <w:rsid w:val="00DF1978"/>
    <w:rsid w:val="00DF44FF"/>
    <w:rsid w:val="00DF5C5B"/>
    <w:rsid w:val="00DF64A1"/>
    <w:rsid w:val="00DF6746"/>
    <w:rsid w:val="00DF79A5"/>
    <w:rsid w:val="00E00A0E"/>
    <w:rsid w:val="00E01A35"/>
    <w:rsid w:val="00E0473C"/>
    <w:rsid w:val="00E056BA"/>
    <w:rsid w:val="00E05BEE"/>
    <w:rsid w:val="00E106C2"/>
    <w:rsid w:val="00E1128B"/>
    <w:rsid w:val="00E1315B"/>
    <w:rsid w:val="00E1431C"/>
    <w:rsid w:val="00E15473"/>
    <w:rsid w:val="00E17BAA"/>
    <w:rsid w:val="00E20B7A"/>
    <w:rsid w:val="00E21F53"/>
    <w:rsid w:val="00E252A8"/>
    <w:rsid w:val="00E27422"/>
    <w:rsid w:val="00E27B41"/>
    <w:rsid w:val="00E313C5"/>
    <w:rsid w:val="00E318E3"/>
    <w:rsid w:val="00E32D63"/>
    <w:rsid w:val="00E36802"/>
    <w:rsid w:val="00E37535"/>
    <w:rsid w:val="00E4484D"/>
    <w:rsid w:val="00E53FF1"/>
    <w:rsid w:val="00E54F4C"/>
    <w:rsid w:val="00E559E9"/>
    <w:rsid w:val="00E56DB2"/>
    <w:rsid w:val="00E62A6B"/>
    <w:rsid w:val="00E63AEA"/>
    <w:rsid w:val="00E64082"/>
    <w:rsid w:val="00E65504"/>
    <w:rsid w:val="00E65C1E"/>
    <w:rsid w:val="00E66562"/>
    <w:rsid w:val="00E6656D"/>
    <w:rsid w:val="00E6737B"/>
    <w:rsid w:val="00E67F86"/>
    <w:rsid w:val="00E70506"/>
    <w:rsid w:val="00E74B85"/>
    <w:rsid w:val="00E753B2"/>
    <w:rsid w:val="00E75624"/>
    <w:rsid w:val="00E75BBC"/>
    <w:rsid w:val="00E7640E"/>
    <w:rsid w:val="00E803A9"/>
    <w:rsid w:val="00E82159"/>
    <w:rsid w:val="00E83204"/>
    <w:rsid w:val="00E8747A"/>
    <w:rsid w:val="00E877A4"/>
    <w:rsid w:val="00E91B92"/>
    <w:rsid w:val="00E9392C"/>
    <w:rsid w:val="00E95D84"/>
    <w:rsid w:val="00E96373"/>
    <w:rsid w:val="00E96824"/>
    <w:rsid w:val="00E9779B"/>
    <w:rsid w:val="00EA210B"/>
    <w:rsid w:val="00EA3244"/>
    <w:rsid w:val="00EA3C8D"/>
    <w:rsid w:val="00EA6F01"/>
    <w:rsid w:val="00EA7BD1"/>
    <w:rsid w:val="00EB1FAB"/>
    <w:rsid w:val="00EB2E4C"/>
    <w:rsid w:val="00EB6DBE"/>
    <w:rsid w:val="00EC392B"/>
    <w:rsid w:val="00EC4F3A"/>
    <w:rsid w:val="00EC68DA"/>
    <w:rsid w:val="00EC7273"/>
    <w:rsid w:val="00ED33B8"/>
    <w:rsid w:val="00ED65B2"/>
    <w:rsid w:val="00ED76F7"/>
    <w:rsid w:val="00ED7FF8"/>
    <w:rsid w:val="00EE1025"/>
    <w:rsid w:val="00EE1172"/>
    <w:rsid w:val="00EE1A2D"/>
    <w:rsid w:val="00EE1EBB"/>
    <w:rsid w:val="00EE4C4C"/>
    <w:rsid w:val="00EE5282"/>
    <w:rsid w:val="00EF27B2"/>
    <w:rsid w:val="00EF5CC2"/>
    <w:rsid w:val="00EF7BDB"/>
    <w:rsid w:val="00EF7C2D"/>
    <w:rsid w:val="00F012C8"/>
    <w:rsid w:val="00F0177A"/>
    <w:rsid w:val="00F01921"/>
    <w:rsid w:val="00F0317B"/>
    <w:rsid w:val="00F03E4B"/>
    <w:rsid w:val="00F04311"/>
    <w:rsid w:val="00F04A49"/>
    <w:rsid w:val="00F04A9B"/>
    <w:rsid w:val="00F04CA4"/>
    <w:rsid w:val="00F0798D"/>
    <w:rsid w:val="00F11518"/>
    <w:rsid w:val="00F11E74"/>
    <w:rsid w:val="00F15254"/>
    <w:rsid w:val="00F15B3D"/>
    <w:rsid w:val="00F20CD9"/>
    <w:rsid w:val="00F21521"/>
    <w:rsid w:val="00F22B5A"/>
    <w:rsid w:val="00F22C60"/>
    <w:rsid w:val="00F23158"/>
    <w:rsid w:val="00F23C37"/>
    <w:rsid w:val="00F25395"/>
    <w:rsid w:val="00F30299"/>
    <w:rsid w:val="00F314C5"/>
    <w:rsid w:val="00F327A8"/>
    <w:rsid w:val="00F33D36"/>
    <w:rsid w:val="00F35383"/>
    <w:rsid w:val="00F36F1B"/>
    <w:rsid w:val="00F37D6D"/>
    <w:rsid w:val="00F40A15"/>
    <w:rsid w:val="00F4442C"/>
    <w:rsid w:val="00F451D1"/>
    <w:rsid w:val="00F523E2"/>
    <w:rsid w:val="00F525A4"/>
    <w:rsid w:val="00F5474B"/>
    <w:rsid w:val="00F57152"/>
    <w:rsid w:val="00F572C3"/>
    <w:rsid w:val="00F57BE1"/>
    <w:rsid w:val="00F61DC1"/>
    <w:rsid w:val="00F61F66"/>
    <w:rsid w:val="00F636EA"/>
    <w:rsid w:val="00F6574C"/>
    <w:rsid w:val="00F672F6"/>
    <w:rsid w:val="00F67A53"/>
    <w:rsid w:val="00F70A43"/>
    <w:rsid w:val="00F73769"/>
    <w:rsid w:val="00F76560"/>
    <w:rsid w:val="00F7687F"/>
    <w:rsid w:val="00F768C8"/>
    <w:rsid w:val="00F769E9"/>
    <w:rsid w:val="00F76B80"/>
    <w:rsid w:val="00F813FE"/>
    <w:rsid w:val="00F828A6"/>
    <w:rsid w:val="00F82BBD"/>
    <w:rsid w:val="00F84892"/>
    <w:rsid w:val="00F86292"/>
    <w:rsid w:val="00F86EC2"/>
    <w:rsid w:val="00F86F05"/>
    <w:rsid w:val="00F916C5"/>
    <w:rsid w:val="00F94153"/>
    <w:rsid w:val="00F943F5"/>
    <w:rsid w:val="00F95166"/>
    <w:rsid w:val="00F95FAE"/>
    <w:rsid w:val="00F96911"/>
    <w:rsid w:val="00F96F80"/>
    <w:rsid w:val="00F97391"/>
    <w:rsid w:val="00F976A8"/>
    <w:rsid w:val="00FA089C"/>
    <w:rsid w:val="00FA7C3E"/>
    <w:rsid w:val="00FB21C8"/>
    <w:rsid w:val="00FB61BA"/>
    <w:rsid w:val="00FB7637"/>
    <w:rsid w:val="00FC0A14"/>
    <w:rsid w:val="00FC0DAC"/>
    <w:rsid w:val="00FC231E"/>
    <w:rsid w:val="00FC3380"/>
    <w:rsid w:val="00FC5697"/>
    <w:rsid w:val="00FC6CFC"/>
    <w:rsid w:val="00FD204F"/>
    <w:rsid w:val="00FD37D3"/>
    <w:rsid w:val="00FD3DD8"/>
    <w:rsid w:val="00FD7448"/>
    <w:rsid w:val="00FE64CA"/>
    <w:rsid w:val="00FE74E8"/>
    <w:rsid w:val="00FE7A5D"/>
    <w:rsid w:val="00FF241E"/>
    <w:rsid w:val="00FF2DA8"/>
    <w:rsid w:val="00FF3C93"/>
    <w:rsid w:val="00FF60B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84802B1B-658C-4FF3-8C65-1A586C74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15"/>
    <w:rPr>
      <w:rFonts w:ascii="Arial Narrow" w:eastAsia="Times New Roman" w:hAnsi="Arial Narrow"/>
      <w:szCs w:val="24"/>
    </w:rPr>
  </w:style>
  <w:style w:type="paragraph" w:styleId="Heading2">
    <w:name w:val="heading 2"/>
    <w:basedOn w:val="Normal"/>
    <w:next w:val="Normal"/>
    <w:qFormat/>
    <w:rsid w:val="00F61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7E76"/>
    <w:pPr>
      <w:keepNext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41C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37B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17A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Footer">
    <w:name w:val="footer"/>
    <w:basedOn w:val="Normal"/>
    <w:rsid w:val="003A39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C6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5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5A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668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68D8"/>
    <w:rPr>
      <w:rFonts w:ascii="Arial Narrow" w:eastAsia="Times New Roman" w:hAnsi="Arial Narrow"/>
      <w:szCs w:val="24"/>
    </w:rPr>
  </w:style>
  <w:style w:type="paragraph" w:styleId="NormalWeb">
    <w:name w:val="Normal (Web)"/>
    <w:basedOn w:val="Normal"/>
    <w:uiPriority w:val="99"/>
    <w:unhideWhenUsed/>
    <w:rsid w:val="00C8027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D14A3B"/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A20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1">
    <w:name w:val="red1"/>
    <w:basedOn w:val="DefaultParagraphFont"/>
    <w:rsid w:val="00135007"/>
    <w:rPr>
      <w:color w:val="CA4D3D"/>
    </w:rPr>
  </w:style>
  <w:style w:type="character" w:styleId="Hyperlink">
    <w:name w:val="Hyperlink"/>
    <w:basedOn w:val="DefaultParagraphFont"/>
    <w:uiPriority w:val="99"/>
    <w:rsid w:val="009A7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63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21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0285">
                      <w:marLeft w:val="1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429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50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645">
                      <w:marLeft w:val="1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1261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pchouston.org/Publications/2017_Comp_Plan/Care_Continuum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hcosan06\rwcshared$\Committees\Quality%20Improvement\FY19%20How%20To%20Best\Service%20Category%20Summaries\DO%20NOT%20PRINT%20-%20CHART%20-%20All%20FY%202018%20Service%20Category%20Info%20Summaries%20-%20DRAFT%2004-23-18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cosan06\rwcshared$\Committees\Quality%20Improvement\FY19%20How%20To%20Best\Service%20Category%20Summaries\DO%20NOT%20PRINT%20-%20CHART%20-%20All%20FY%202018%20Service%20Category%20Info%20Summaries%20-%20DRAFT%2004-23-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cosan06\rwcshared$\Committees\Comprehensive%20HIV%20Planning\old%20files\2016%20Files\2016%20Needs%20Assessment\Report\2016%20NA%20Report%20Charts%20-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905349180749996"/>
          <c:y val="5.6106669872372832E-2"/>
          <c:w val="0.73758982079192048"/>
          <c:h val="0.68370820059706272"/>
        </c:manualLayout>
      </c:layout>
      <c:lineChart>
        <c:grouping val="standard"/>
        <c:varyColors val="0"/>
        <c:ser>
          <c:idx val="0"/>
          <c:order val="0"/>
          <c:tx>
            <c:strRef>
              <c:f>AOMC!$B$13</c:f>
              <c:strCache>
                <c:ptCount val="1"/>
                <c:pt idx="0">
                  <c:v>PCare</c:v>
                </c:pt>
              </c:strCache>
            </c:strRef>
          </c:tx>
          <c:marker>
            <c:symbol val="diamond"/>
            <c:size val="5"/>
          </c:marker>
          <c:cat>
            <c:strRef>
              <c:f>AOMC!$C$12:$J$12</c:f>
              <c:strCache>
                <c:ptCount val="8"/>
                <c:pt idx="0">
                  <c:v>CY10</c:v>
                </c:pt>
                <c:pt idx="1">
                  <c:v>CY11</c:v>
                </c:pt>
                <c:pt idx="2">
                  <c:v>CY12</c:v>
                </c:pt>
                <c:pt idx="3">
                  <c:v>CY13</c:v>
                </c:pt>
                <c:pt idx="4">
                  <c:v>CY14</c:v>
                </c:pt>
                <c:pt idx="5">
                  <c:v>CY15</c:v>
                </c:pt>
                <c:pt idx="6">
                  <c:v>CY16</c:v>
                </c:pt>
                <c:pt idx="7">
                  <c:v>CY17</c:v>
                </c:pt>
              </c:strCache>
            </c:strRef>
          </c:cat>
          <c:val>
            <c:numRef>
              <c:f>AOMC!$C$13:$J$13</c:f>
              <c:numCache>
                <c:formatCode>#,##0</c:formatCode>
                <c:ptCount val="8"/>
                <c:pt idx="0">
                  <c:v>7035</c:v>
                </c:pt>
                <c:pt idx="1">
                  <c:v>6842</c:v>
                </c:pt>
                <c:pt idx="2">
                  <c:v>7000</c:v>
                </c:pt>
                <c:pt idx="3">
                  <c:v>7570</c:v>
                </c:pt>
                <c:pt idx="4">
                  <c:v>7830</c:v>
                </c:pt>
                <c:pt idx="5">
                  <c:v>7799</c:v>
                </c:pt>
                <c:pt idx="6">
                  <c:v>8224</c:v>
                </c:pt>
                <c:pt idx="7">
                  <c:v>8416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C9-4B64-B8DD-99C0BD7EE946}"/>
            </c:ext>
          </c:extLst>
        </c:ser>
        <c:ser>
          <c:idx val="1"/>
          <c:order val="1"/>
          <c:tx>
            <c:strRef>
              <c:f>AOMC!$B$14</c:f>
              <c:strCache>
                <c:ptCount val="1"/>
                <c:pt idx="0">
                  <c:v>Vision</c:v>
                </c:pt>
              </c:strCache>
            </c:strRef>
          </c:tx>
          <c:marker>
            <c:symbol val="square"/>
            <c:size val="4"/>
          </c:marker>
          <c:cat>
            <c:strRef>
              <c:f>AOMC!$C$12:$J$12</c:f>
              <c:strCache>
                <c:ptCount val="8"/>
                <c:pt idx="0">
                  <c:v>CY10</c:v>
                </c:pt>
                <c:pt idx="1">
                  <c:v>CY11</c:v>
                </c:pt>
                <c:pt idx="2">
                  <c:v>CY12</c:v>
                </c:pt>
                <c:pt idx="3">
                  <c:v>CY13</c:v>
                </c:pt>
                <c:pt idx="4">
                  <c:v>CY14</c:v>
                </c:pt>
                <c:pt idx="5">
                  <c:v>CY15</c:v>
                </c:pt>
                <c:pt idx="6">
                  <c:v>CY16</c:v>
                </c:pt>
                <c:pt idx="7">
                  <c:v>CY17</c:v>
                </c:pt>
              </c:strCache>
            </c:strRef>
          </c:cat>
          <c:val>
            <c:numRef>
              <c:f>AOMC!$C$14:$J$14</c:f>
              <c:numCache>
                <c:formatCode>#,##0</c:formatCode>
                <c:ptCount val="8"/>
                <c:pt idx="0">
                  <c:v>1474</c:v>
                </c:pt>
                <c:pt idx="1">
                  <c:v>1496</c:v>
                </c:pt>
                <c:pt idx="2">
                  <c:v>1734</c:v>
                </c:pt>
                <c:pt idx="3">
                  <c:v>1984</c:v>
                </c:pt>
                <c:pt idx="4">
                  <c:v>2108</c:v>
                </c:pt>
                <c:pt idx="5">
                  <c:v>2087</c:v>
                </c:pt>
                <c:pt idx="6">
                  <c:v>2186</c:v>
                </c:pt>
                <c:pt idx="7">
                  <c:v>2598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C9-4B64-B8DD-99C0BD7EE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269376"/>
        <c:axId val="127270912"/>
      </c:lineChart>
      <c:catAx>
        <c:axId val="91269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270912"/>
        <c:crosses val="autoZero"/>
        <c:auto val="1"/>
        <c:lblAlgn val="ctr"/>
        <c:lblOffset val="100"/>
        <c:noMultiLvlLbl val="0"/>
      </c:catAx>
      <c:valAx>
        <c:axId val="127270912"/>
        <c:scaling>
          <c:orientation val="minMax"/>
          <c:min val="10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Total # of clients served </a:t>
                </a:r>
              </a:p>
            </c:rich>
          </c:tx>
          <c:layout>
            <c:manualLayout>
              <c:xMode val="edge"/>
              <c:yMode val="edge"/>
              <c:x val="6.0365681283925686E-2"/>
              <c:y val="0.14621851094235996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1269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0">
          <a:latin typeface="Arial Narrow" pitchFamily="34" charset="0"/>
        </a:defRPr>
      </a:pPr>
      <a:endParaRPr lang="en-US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'Table D2-1'!$M$3:$M$6</c:f>
              <c:strCache>
                <c:ptCount val="4"/>
                <c:pt idx="0">
                  <c:v>Did not know about service</c:v>
                </c:pt>
                <c:pt idx="1">
                  <c:v>Did not need service</c:v>
                </c:pt>
                <c:pt idx="2">
                  <c:v>Needed the service, easy to access</c:v>
                </c:pt>
                <c:pt idx="3">
                  <c:v>Needed the service, difficult to access</c:v>
                </c:pt>
              </c:strCache>
            </c:strRef>
          </c:cat>
          <c:val>
            <c:numRef>
              <c:f>'Table D2-1'!$N$3:$N$6</c:f>
              <c:numCache>
                <c:formatCode>0%</c:formatCode>
                <c:ptCount val="4"/>
                <c:pt idx="0">
                  <c:v>4.7524752475247525E-2</c:v>
                </c:pt>
                <c:pt idx="1">
                  <c:v>1.3861386138613862E-2</c:v>
                </c:pt>
                <c:pt idx="2">
                  <c:v>0.84356435643564354</c:v>
                </c:pt>
                <c:pt idx="3">
                  <c:v>9.5049504950495051E-2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9B-48F1-B9A3-57712C199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40288"/>
        <c:axId val="81341824"/>
      </c:barChart>
      <c:catAx>
        <c:axId val="8134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341824"/>
        <c:crosses val="autoZero"/>
        <c:auto val="1"/>
        <c:lblAlgn val="ctr"/>
        <c:lblOffset val="100"/>
        <c:noMultiLvlLbl val="0"/>
      </c:catAx>
      <c:valAx>
        <c:axId val="8134182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813402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 Narrow" panose="020B0606020202030204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MCM!$B$13</c:f>
              <c:strCache>
                <c:ptCount val="1"/>
                <c:pt idx="0">
                  <c:v>MCM</c:v>
                </c:pt>
              </c:strCache>
            </c:strRef>
          </c:tx>
          <c:marker>
            <c:symbol val="diamond"/>
            <c:size val="4"/>
          </c:marker>
          <c:cat>
            <c:strRef>
              <c:f>MCM!$C$12:$J$12</c:f>
              <c:strCache>
                <c:ptCount val="8"/>
                <c:pt idx="0">
                  <c:v>CY10</c:v>
                </c:pt>
                <c:pt idx="1">
                  <c:v>CY11</c:v>
                </c:pt>
                <c:pt idx="2">
                  <c:v>CY12</c:v>
                </c:pt>
                <c:pt idx="3">
                  <c:v>CY13</c:v>
                </c:pt>
                <c:pt idx="4">
                  <c:v>CY14</c:v>
                </c:pt>
                <c:pt idx="5">
                  <c:v>CY15</c:v>
                </c:pt>
                <c:pt idx="6">
                  <c:v>CY16</c:v>
                </c:pt>
                <c:pt idx="7">
                  <c:v>CY17</c:v>
                </c:pt>
              </c:strCache>
            </c:strRef>
          </c:cat>
          <c:val>
            <c:numRef>
              <c:f>MCM!$C$13:$J$13</c:f>
              <c:numCache>
                <c:formatCode>#,##0</c:formatCode>
                <c:ptCount val="8"/>
                <c:pt idx="0">
                  <c:v>5626</c:v>
                </c:pt>
                <c:pt idx="1">
                  <c:v>4646</c:v>
                </c:pt>
                <c:pt idx="2">
                  <c:v>3692</c:v>
                </c:pt>
                <c:pt idx="3">
                  <c:v>4366</c:v>
                </c:pt>
                <c:pt idx="4">
                  <c:v>4891</c:v>
                </c:pt>
                <c:pt idx="5">
                  <c:v>5089</c:v>
                </c:pt>
                <c:pt idx="6">
                  <c:v>4962</c:v>
                </c:pt>
                <c:pt idx="7">
                  <c:v>5046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5D-45C5-BFE1-52F0F67A4363}"/>
            </c:ext>
          </c:extLst>
        </c:ser>
        <c:ser>
          <c:idx val="1"/>
          <c:order val="1"/>
          <c:tx>
            <c:strRef>
              <c:f>MCM!$B$14</c:f>
              <c:strCache>
                <c:ptCount val="1"/>
                <c:pt idx="0">
                  <c:v>CCM</c:v>
                </c:pt>
              </c:strCache>
            </c:strRef>
          </c:tx>
          <c:marker>
            <c:symbol val="square"/>
            <c:size val="3"/>
          </c:marker>
          <c:cat>
            <c:strRef>
              <c:f>MCM!$C$12:$J$12</c:f>
              <c:strCache>
                <c:ptCount val="8"/>
                <c:pt idx="0">
                  <c:v>CY10</c:v>
                </c:pt>
                <c:pt idx="1">
                  <c:v>CY11</c:v>
                </c:pt>
                <c:pt idx="2">
                  <c:v>CY12</c:v>
                </c:pt>
                <c:pt idx="3">
                  <c:v>CY13</c:v>
                </c:pt>
                <c:pt idx="4">
                  <c:v>CY14</c:v>
                </c:pt>
                <c:pt idx="5">
                  <c:v>CY15</c:v>
                </c:pt>
                <c:pt idx="6">
                  <c:v>CY16</c:v>
                </c:pt>
                <c:pt idx="7">
                  <c:v>CY17</c:v>
                </c:pt>
              </c:strCache>
            </c:strRef>
          </c:cat>
          <c:val>
            <c:numRef>
              <c:f>MCM!$C$14:$J$14</c:f>
              <c:numCache>
                <c:formatCode>#,##0</c:formatCode>
                <c:ptCount val="8"/>
                <c:pt idx="0">
                  <c:v>870</c:v>
                </c:pt>
                <c:pt idx="1">
                  <c:v>1012</c:v>
                </c:pt>
                <c:pt idx="2">
                  <c:v>1385</c:v>
                </c:pt>
                <c:pt idx="3">
                  <c:v>1275</c:v>
                </c:pt>
                <c:pt idx="4">
                  <c:v>1266</c:v>
                </c:pt>
                <c:pt idx="5">
                  <c:v>922</c:v>
                </c:pt>
                <c:pt idx="6">
                  <c:v>1308</c:v>
                </c:pt>
                <c:pt idx="7">
                  <c:v>1276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5D-45C5-BFE1-52F0F67A4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63104"/>
        <c:axId val="166064896"/>
      </c:lineChart>
      <c:catAx>
        <c:axId val="166063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6064896"/>
        <c:crosses val="autoZero"/>
        <c:auto val="1"/>
        <c:lblAlgn val="ctr"/>
        <c:lblOffset val="100"/>
        <c:noMultiLvlLbl val="0"/>
      </c:catAx>
      <c:valAx>
        <c:axId val="166064896"/>
        <c:scaling>
          <c:orientation val="minMax"/>
          <c:min val="5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Total # of clients served </a:t>
                </a:r>
              </a:p>
            </c:rich>
          </c:tx>
          <c:layout/>
          <c:overlay val="0"/>
        </c:title>
        <c:numFmt formatCode="#,##0" sourceLinked="1"/>
        <c:majorTickMark val="none"/>
        <c:minorTickMark val="none"/>
        <c:tickLblPos val="nextTo"/>
        <c:crossAx val="166063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 Narrow" pitchFamily="34" charset="0"/>
        </a:defRPr>
      </a:pPr>
      <a:endParaRPr lang="en-US"/>
    </a:p>
  </c:txPr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03460148046168"/>
          <c:y val="6.3120445286050375E-2"/>
          <c:w val="0.85109313134790843"/>
          <c:h val="0.707551726459397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 Narrow" panose="020B0606020202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'Table D2-5'!$M$3:$M$6</c:f>
              <c:strCache>
                <c:ptCount val="4"/>
                <c:pt idx="0">
                  <c:v>Did not know about service</c:v>
                </c:pt>
                <c:pt idx="1">
                  <c:v>Did not need service</c:v>
                </c:pt>
                <c:pt idx="2">
                  <c:v>Needed the service, easy to access</c:v>
                </c:pt>
                <c:pt idx="3">
                  <c:v>Needed the service, difficult to access</c:v>
                </c:pt>
              </c:strCache>
            </c:strRef>
          </c:cat>
          <c:val>
            <c:numRef>
              <c:f>'Table D2-5'!$N$3:$N$6</c:f>
              <c:numCache>
                <c:formatCode>0%</c:formatCode>
                <c:ptCount val="4"/>
                <c:pt idx="0">
                  <c:v>6.9306930693069313E-2</c:v>
                </c:pt>
                <c:pt idx="1">
                  <c:v>0.10297029702970296</c:v>
                </c:pt>
                <c:pt idx="2">
                  <c:v>0.73069306930693068</c:v>
                </c:pt>
                <c:pt idx="3">
                  <c:v>9.7029702970297033E-2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9-492F-8261-911BF1D83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950336"/>
        <c:axId val="161956224"/>
      </c:barChart>
      <c:catAx>
        <c:axId val="161950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161956224"/>
        <c:crosses val="autoZero"/>
        <c:auto val="1"/>
        <c:lblAlgn val="ctr"/>
        <c:lblOffset val="100"/>
        <c:noMultiLvlLbl val="0"/>
      </c:catAx>
      <c:valAx>
        <c:axId val="16195622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anose="020B0606020202030204" pitchFamily="34" charset="0"/>
              </a:defRPr>
            </a:pPr>
            <a:endParaRPr lang="en-US"/>
          </a:p>
        </c:txPr>
        <c:crossAx val="1619503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22F1-B50D-44A8-88A1-0F5D4F10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2772</Words>
  <Characters>14773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</vt:lpstr>
    </vt:vector>
  </TitlesOfParts>
  <Company>Harris County ITC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</dc:title>
  <dc:creator>jkim</dc:creator>
  <cp:lastModifiedBy>Beck, Diane (County Judge's Office)</cp:lastModifiedBy>
  <cp:revision>6</cp:revision>
  <cp:lastPrinted>2018-12-06T22:32:00Z</cp:lastPrinted>
  <dcterms:created xsi:type="dcterms:W3CDTF">2018-12-06T21:20:00Z</dcterms:created>
  <dcterms:modified xsi:type="dcterms:W3CDTF">2018-12-12T16:31:00Z</dcterms:modified>
</cp:coreProperties>
</file>